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2C788">
      <w:pPr>
        <w:spacing w:line="360" w:lineRule="auto"/>
        <w:jc w:val="center"/>
        <w:outlineLvl w:val="0"/>
        <w:rPr>
          <w:b/>
          <w:sz w:val="36"/>
          <w:szCs w:val="36"/>
          <w:highlight w:val="none"/>
        </w:rPr>
      </w:pPr>
      <w:bookmarkStart w:id="0" w:name="_Toc99301424"/>
      <w:bookmarkStart w:id="9" w:name="_GoBack"/>
      <w:bookmarkEnd w:id="9"/>
      <w:r>
        <w:rPr>
          <w:b/>
          <w:sz w:val="36"/>
          <w:szCs w:val="36"/>
          <w:highlight w:val="none"/>
        </w:rPr>
        <w:t>采购需求</w:t>
      </w:r>
      <w:bookmarkEnd w:id="0"/>
    </w:p>
    <w:p w14:paraId="779C72F4">
      <w:pPr>
        <w:adjustRightInd w:val="0"/>
        <w:spacing w:line="360" w:lineRule="auto"/>
        <w:jc w:val="left"/>
        <w:textAlignment w:val="baseline"/>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一、采购标的</w:t>
      </w:r>
    </w:p>
    <w:p w14:paraId="0F88A0C2">
      <w:pPr>
        <w:adjustRightInd w:val="0"/>
        <w:spacing w:line="360" w:lineRule="auto"/>
        <w:ind w:firstLine="560" w:firstLineChars="200"/>
        <w:jc w:val="left"/>
        <w:textAlignment w:val="baseline"/>
        <w:rPr>
          <w:rFonts w:hint="eastAsia" w:ascii="宋体" w:hAnsi="宋体" w:eastAsia="宋体" w:cs="宋体"/>
          <w:kern w:val="0"/>
          <w:sz w:val="28"/>
          <w:szCs w:val="28"/>
        </w:rPr>
      </w:pPr>
      <w:r>
        <w:rPr>
          <w:rFonts w:hint="eastAsia" w:ascii="宋体" w:hAnsi="宋体" w:eastAsia="宋体" w:cs="宋体"/>
          <w:bCs/>
          <w:kern w:val="0"/>
          <w:sz w:val="28"/>
          <w:szCs w:val="28"/>
        </w:rPr>
        <w:t>（一）采购标的</w:t>
      </w:r>
    </w:p>
    <w:tbl>
      <w:tblPr>
        <w:tblStyle w:val="4"/>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382"/>
        <w:gridCol w:w="1418"/>
        <w:gridCol w:w="1275"/>
        <w:gridCol w:w="3458"/>
      </w:tblGrid>
      <w:tr w14:paraId="05A1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3" w:type="dxa"/>
            <w:noWrap w:val="0"/>
            <w:vAlign w:val="center"/>
          </w:tcPr>
          <w:p w14:paraId="6870F516">
            <w:pPr>
              <w:jc w:val="center"/>
              <w:rPr>
                <w:bCs/>
                <w:szCs w:val="21"/>
              </w:rPr>
            </w:pPr>
            <w:r>
              <w:rPr>
                <w:bCs/>
                <w:szCs w:val="21"/>
              </w:rPr>
              <w:t>包号</w:t>
            </w:r>
          </w:p>
        </w:tc>
        <w:tc>
          <w:tcPr>
            <w:tcW w:w="2382" w:type="dxa"/>
            <w:noWrap w:val="0"/>
            <w:vAlign w:val="center"/>
          </w:tcPr>
          <w:p w14:paraId="658EEC86">
            <w:pPr>
              <w:jc w:val="center"/>
              <w:rPr>
                <w:bCs/>
                <w:szCs w:val="21"/>
              </w:rPr>
            </w:pPr>
            <w:r>
              <w:rPr>
                <w:bCs/>
                <w:szCs w:val="21"/>
              </w:rPr>
              <w:t>标的名称</w:t>
            </w:r>
          </w:p>
        </w:tc>
        <w:tc>
          <w:tcPr>
            <w:tcW w:w="1418" w:type="dxa"/>
            <w:noWrap w:val="0"/>
            <w:vAlign w:val="center"/>
          </w:tcPr>
          <w:p w14:paraId="6F5483F1">
            <w:pPr>
              <w:jc w:val="center"/>
              <w:rPr>
                <w:bCs/>
                <w:szCs w:val="21"/>
              </w:rPr>
            </w:pPr>
            <w:r>
              <w:rPr>
                <w:bCs/>
                <w:szCs w:val="21"/>
              </w:rPr>
              <w:t>采购包</w:t>
            </w:r>
          </w:p>
          <w:p w14:paraId="491A3B97">
            <w:pPr>
              <w:jc w:val="center"/>
              <w:rPr>
                <w:bCs/>
                <w:szCs w:val="21"/>
              </w:rPr>
            </w:pPr>
            <w:r>
              <w:rPr>
                <w:bCs/>
                <w:szCs w:val="21"/>
              </w:rPr>
              <w:t>预算金额</w:t>
            </w:r>
          </w:p>
          <w:p w14:paraId="0263D9EE">
            <w:pPr>
              <w:jc w:val="center"/>
              <w:rPr>
                <w:bCs/>
                <w:szCs w:val="21"/>
              </w:rPr>
            </w:pPr>
            <w:r>
              <w:rPr>
                <w:bCs/>
                <w:szCs w:val="21"/>
              </w:rPr>
              <w:t>（万元）</w:t>
            </w:r>
          </w:p>
        </w:tc>
        <w:tc>
          <w:tcPr>
            <w:tcW w:w="1275" w:type="dxa"/>
            <w:noWrap w:val="0"/>
            <w:vAlign w:val="center"/>
          </w:tcPr>
          <w:p w14:paraId="4C76EE4C">
            <w:pPr>
              <w:jc w:val="center"/>
              <w:rPr>
                <w:bCs/>
                <w:szCs w:val="21"/>
              </w:rPr>
            </w:pPr>
            <w:r>
              <w:rPr>
                <w:bCs/>
                <w:szCs w:val="21"/>
              </w:rPr>
              <w:t>数量</w:t>
            </w:r>
          </w:p>
        </w:tc>
        <w:tc>
          <w:tcPr>
            <w:tcW w:w="3458" w:type="dxa"/>
            <w:noWrap w:val="0"/>
            <w:vAlign w:val="center"/>
          </w:tcPr>
          <w:p w14:paraId="07421CD6">
            <w:pPr>
              <w:jc w:val="center"/>
              <w:rPr>
                <w:szCs w:val="21"/>
              </w:rPr>
            </w:pPr>
            <w:r>
              <w:rPr>
                <w:szCs w:val="21"/>
              </w:rPr>
              <w:t>简要技术需求或服务要求</w:t>
            </w:r>
          </w:p>
        </w:tc>
      </w:tr>
      <w:tr w14:paraId="5A04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3" w:type="dxa"/>
            <w:noWrap w:val="0"/>
            <w:vAlign w:val="center"/>
          </w:tcPr>
          <w:p w14:paraId="508F3755">
            <w:pPr>
              <w:jc w:val="center"/>
              <w:rPr>
                <w:bCs/>
                <w:szCs w:val="21"/>
              </w:rPr>
            </w:pPr>
            <w:r>
              <w:rPr>
                <w:bCs/>
                <w:szCs w:val="21"/>
              </w:rPr>
              <w:t>1</w:t>
            </w:r>
          </w:p>
        </w:tc>
        <w:tc>
          <w:tcPr>
            <w:tcW w:w="2382" w:type="dxa"/>
            <w:noWrap w:val="0"/>
            <w:vAlign w:val="center"/>
          </w:tcPr>
          <w:p w14:paraId="4A543A90">
            <w:pPr>
              <w:spacing w:line="240" w:lineRule="auto"/>
              <w:ind w:firstLine="0" w:firstLineChars="0"/>
              <w:jc w:val="center"/>
              <w:rPr>
                <w:rFonts w:hint="eastAsia"/>
                <w:bCs/>
                <w:sz w:val="21"/>
                <w:szCs w:val="21"/>
                <w:highlight w:val="none"/>
              </w:rPr>
            </w:pPr>
            <w:r>
              <w:rPr>
                <w:rFonts w:hint="eastAsia"/>
                <w:bCs/>
                <w:sz w:val="21"/>
                <w:szCs w:val="21"/>
                <w:highlight w:val="none"/>
              </w:rPr>
              <w:t>北京市公安局交通管理局2026-2027年度政务云服务采购项目</w:t>
            </w:r>
          </w:p>
          <w:p w14:paraId="514865D7">
            <w:pPr>
              <w:jc w:val="center"/>
              <w:rPr>
                <w:bCs/>
                <w:szCs w:val="21"/>
              </w:rPr>
            </w:pPr>
          </w:p>
        </w:tc>
        <w:tc>
          <w:tcPr>
            <w:tcW w:w="1418" w:type="dxa"/>
            <w:noWrap w:val="0"/>
            <w:vAlign w:val="center"/>
          </w:tcPr>
          <w:p w14:paraId="12FAF9F2">
            <w:pPr>
              <w:jc w:val="center"/>
              <w:rPr>
                <w:bCs/>
                <w:szCs w:val="21"/>
              </w:rPr>
            </w:pPr>
            <w:r>
              <w:rPr>
                <w:bCs/>
                <w:szCs w:val="21"/>
              </w:rPr>
              <w:t>468.78</w:t>
            </w:r>
          </w:p>
        </w:tc>
        <w:tc>
          <w:tcPr>
            <w:tcW w:w="1275" w:type="dxa"/>
            <w:noWrap w:val="0"/>
            <w:vAlign w:val="center"/>
          </w:tcPr>
          <w:p w14:paraId="0FF23F04">
            <w:pPr>
              <w:jc w:val="center"/>
              <w:rPr>
                <w:bCs/>
                <w:szCs w:val="21"/>
              </w:rPr>
            </w:pPr>
            <w:r>
              <w:rPr>
                <w:rFonts w:hint="eastAsia"/>
                <w:bCs/>
                <w:szCs w:val="21"/>
              </w:rPr>
              <w:t>1项</w:t>
            </w:r>
          </w:p>
        </w:tc>
        <w:tc>
          <w:tcPr>
            <w:tcW w:w="3458" w:type="dxa"/>
            <w:noWrap w:val="0"/>
            <w:vAlign w:val="center"/>
          </w:tcPr>
          <w:p w14:paraId="547B3CA9">
            <w:pPr>
              <w:jc w:val="center"/>
              <w:rPr>
                <w:kern w:val="0"/>
                <w:szCs w:val="21"/>
              </w:rPr>
            </w:pPr>
            <w:r>
              <w:rPr>
                <w:kern w:val="0"/>
                <w:szCs w:val="21"/>
              </w:rPr>
              <w:t>详见采购需求</w:t>
            </w:r>
          </w:p>
        </w:tc>
      </w:tr>
    </w:tbl>
    <w:p w14:paraId="3B9A9DB1">
      <w:pPr>
        <w:adjustRightInd w:val="0"/>
        <w:spacing w:line="360" w:lineRule="auto"/>
        <w:ind w:firstLine="560" w:firstLineChars="200"/>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rPr>
        <w:t>（二）项目背景或简况</w:t>
      </w:r>
    </w:p>
    <w:p w14:paraId="0579329F">
      <w:pPr>
        <w:adjustRightInd w:val="0"/>
        <w:spacing w:line="360" w:lineRule="auto"/>
        <w:ind w:firstLine="560" w:firstLineChars="200"/>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rPr>
        <w:t>为加快推进北京市政务信息系统整合共享工作，北京市经信局等部门联合制定并发布了《关于印发&lt;关于推进我市政务信息系统整合共享的实施方案&gt;的通知》（京经信委发[2017]89号）文件。同时，结合《关于印发&lt;北京市大数据行动计划2019年重点工作任务&gt;的通知》以及《关于加快政务信息系统入云工作的函》的工作要求，北京市公安局交通管理局信息系统需迁移到政务云平台。为持续提升公共服务水平和能力，进一步提供安全、稳定的扩展服务，北京市公安局交通管理局需要为已入云的信息系统继续租用云上基础资源和扩展资源等服务，用以确保各项业务顺利开展，提升云上系统的安全保障能力。</w:t>
      </w:r>
    </w:p>
    <w:p w14:paraId="11DE95B7">
      <w:pPr>
        <w:adjustRightInd w:val="0"/>
        <w:spacing w:line="360" w:lineRule="auto"/>
        <w:jc w:val="left"/>
        <w:textAlignment w:val="baseline"/>
        <w:rPr>
          <w:rFonts w:ascii="仿宋_GB2312" w:hAnsi="仿宋_GB2312" w:eastAsia="仿宋_GB2312" w:cs="仿宋_GB2312"/>
          <w:b/>
          <w:kern w:val="0"/>
          <w:sz w:val="32"/>
          <w:szCs w:val="32"/>
        </w:rPr>
      </w:pPr>
      <w:bookmarkStart w:id="1" w:name="_Toc405219162"/>
      <w:bookmarkStart w:id="2" w:name="_Toc340002866"/>
      <w:bookmarkStart w:id="3" w:name="_Toc341361580"/>
      <w:r>
        <w:rPr>
          <w:rFonts w:hint="eastAsia" w:ascii="仿宋_GB2312" w:hAnsi="仿宋_GB2312" w:eastAsia="仿宋_GB2312" w:cs="仿宋_GB2312"/>
          <w:b/>
          <w:kern w:val="0"/>
          <w:sz w:val="32"/>
          <w:szCs w:val="32"/>
        </w:rPr>
        <w:t>二、商务要求</w:t>
      </w:r>
    </w:p>
    <w:p w14:paraId="44969227">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交付（实施）的时间（期限）和地点（范围）</w:t>
      </w:r>
    </w:p>
    <w:p w14:paraId="6DA94D76">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rPr>
        <w:t>交付时间：自合同签订之日起12个月。</w:t>
      </w:r>
    </w:p>
    <w:p w14:paraId="2FD56DE6">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rPr>
        <w:t>交付地点：采购人指定地点。</w:t>
      </w:r>
    </w:p>
    <w:p w14:paraId="7F127455">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付款条件</w:t>
      </w:r>
    </w:p>
    <w:p w14:paraId="327EFF2F">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2.1</w:t>
      </w:r>
      <w:r>
        <w:rPr>
          <w:rFonts w:hint="eastAsia" w:ascii="宋体" w:hAnsi="宋体" w:eastAsia="宋体" w:cs="宋体"/>
          <w:kern w:val="0"/>
          <w:sz w:val="28"/>
          <w:szCs w:val="28"/>
        </w:rPr>
        <w:t>结算周期：政务云服务以3个月为一个独立结算周期；</w:t>
      </w:r>
    </w:p>
    <w:p w14:paraId="22BF8F1E">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2.2</w:t>
      </w:r>
      <w:r>
        <w:rPr>
          <w:rFonts w:hint="eastAsia" w:ascii="宋体" w:hAnsi="宋体" w:eastAsia="宋体" w:cs="宋体"/>
          <w:kern w:val="0"/>
          <w:sz w:val="28"/>
          <w:szCs w:val="28"/>
        </w:rPr>
        <w:t>结算材料：每满一个服务周期，中标人须按采购人要求提交当期结算材料；</w:t>
      </w:r>
    </w:p>
    <w:p w14:paraId="5AB7D37C">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2.3</w:t>
      </w:r>
      <w:r>
        <w:rPr>
          <w:rFonts w:hint="eastAsia" w:ascii="宋体" w:hAnsi="宋体" w:eastAsia="宋体" w:cs="宋体"/>
          <w:kern w:val="0"/>
          <w:sz w:val="28"/>
          <w:szCs w:val="28"/>
        </w:rPr>
        <w:t>结算流程：采购人对中标人提交的结算材料进行核验，经双方确认全部服务履约无误后，采购人支付合同总价的25%；</w:t>
      </w:r>
    </w:p>
    <w:p w14:paraId="4A07D7E4">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2.4</w:t>
      </w:r>
      <w:r>
        <w:rPr>
          <w:rFonts w:hint="eastAsia" w:ascii="宋体" w:hAnsi="宋体" w:eastAsia="宋体" w:cs="宋体"/>
          <w:kern w:val="0"/>
          <w:sz w:val="28"/>
          <w:szCs w:val="28"/>
        </w:rPr>
        <w:t>其他：因财政资金未拨付到位，采购人未能按时付款，不视为采购人违约，中标人仍应按合同约定履行义务。</w:t>
      </w:r>
    </w:p>
    <w:p w14:paraId="2C926CF7">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售后服务</w:t>
      </w:r>
    </w:p>
    <w:p w14:paraId="0F83CE6D">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3.1</w:t>
      </w:r>
      <w:r>
        <w:rPr>
          <w:rFonts w:hint="eastAsia" w:ascii="宋体" w:hAnsi="宋体" w:eastAsia="宋体" w:cs="宋体"/>
          <w:kern w:val="0"/>
          <w:sz w:val="28"/>
          <w:szCs w:val="28"/>
        </w:rPr>
        <w:t>投标人应成立专门的技术支持和售后服务团队，提供完善周到的本地化服务，具有7*24小时的维护支持能力以及优先服务级别。投标人应提供具体的技术支持和售后服务方案。</w:t>
      </w:r>
    </w:p>
    <w:p w14:paraId="518935F8">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3.2</w:t>
      </w:r>
      <w:r>
        <w:rPr>
          <w:rFonts w:hint="eastAsia" w:ascii="宋体" w:hAnsi="宋体" w:eastAsia="宋体" w:cs="宋体"/>
          <w:kern w:val="0"/>
          <w:sz w:val="28"/>
          <w:szCs w:val="28"/>
        </w:rPr>
        <w:t>自租用期始至服务期止，需向采购人提供以下两方面内容，其它内容可自愿提供。</w:t>
      </w:r>
    </w:p>
    <w:p w14:paraId="528DE799">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3.3</w:t>
      </w:r>
      <w:r>
        <w:rPr>
          <w:rFonts w:hint="eastAsia" w:ascii="宋体" w:hAnsi="宋体" w:eastAsia="宋体" w:cs="宋体"/>
          <w:kern w:val="0"/>
          <w:sz w:val="28"/>
          <w:szCs w:val="28"/>
        </w:rPr>
        <w:t>每月定期向采购人提供月度服务明细。</w:t>
      </w:r>
    </w:p>
    <w:p w14:paraId="291C3EC6">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3.4</w:t>
      </w:r>
      <w:r>
        <w:rPr>
          <w:rFonts w:hint="eastAsia" w:ascii="宋体" w:hAnsi="宋体" w:eastAsia="宋体" w:cs="宋体"/>
          <w:kern w:val="0"/>
          <w:sz w:val="28"/>
          <w:szCs w:val="28"/>
        </w:rPr>
        <w:t>至少提前一天通知之后即将进行的，与采购人系统运行相关的安全事件、项目施工、功能或者性能调整工作。</w:t>
      </w:r>
    </w:p>
    <w:bookmarkEnd w:id="1"/>
    <w:bookmarkEnd w:id="2"/>
    <w:bookmarkEnd w:id="3"/>
    <w:p w14:paraId="4569F044">
      <w:pPr>
        <w:adjustRightInd w:val="0"/>
        <w:spacing w:line="360" w:lineRule="auto"/>
        <w:jc w:val="left"/>
        <w:textAlignment w:val="baseline"/>
        <w:rPr>
          <w:rFonts w:ascii="仿宋_GB2312" w:hAnsi="仿宋_GB2312" w:eastAsia="仿宋_GB2312" w:cs="仿宋_GB2312"/>
          <w:b/>
          <w:kern w:val="0"/>
          <w:sz w:val="32"/>
          <w:szCs w:val="32"/>
        </w:rPr>
      </w:pPr>
      <w:bookmarkStart w:id="4" w:name="_Toc341361582"/>
      <w:bookmarkStart w:id="5" w:name="_Toc275698868"/>
      <w:bookmarkStart w:id="6" w:name="_Toc340002868"/>
      <w:bookmarkStart w:id="7" w:name="_Toc275699232"/>
      <w:r>
        <w:rPr>
          <w:rFonts w:hint="eastAsia" w:ascii="仿宋_GB2312" w:hAnsi="仿宋_GB2312" w:eastAsia="仿宋_GB2312" w:cs="仿宋_GB2312"/>
          <w:b/>
          <w:kern w:val="0"/>
          <w:sz w:val="32"/>
          <w:szCs w:val="32"/>
        </w:rPr>
        <w:t>三、</w:t>
      </w:r>
      <w:bookmarkEnd w:id="4"/>
      <w:bookmarkEnd w:id="5"/>
      <w:bookmarkEnd w:id="6"/>
      <w:bookmarkEnd w:id="7"/>
      <w:bookmarkStart w:id="8" w:name="_Toc405219164"/>
      <w:r>
        <w:rPr>
          <w:rFonts w:hint="eastAsia" w:ascii="仿宋_GB2312" w:hAnsi="仿宋_GB2312" w:eastAsia="仿宋_GB2312" w:cs="仿宋_GB2312"/>
          <w:b/>
          <w:kern w:val="0"/>
          <w:sz w:val="32"/>
          <w:szCs w:val="32"/>
        </w:rPr>
        <w:t>技术要求</w:t>
      </w:r>
    </w:p>
    <w:p w14:paraId="514D1A37">
      <w:pPr>
        <w:adjustRightInd w:val="0"/>
        <w:spacing w:line="360" w:lineRule="auto"/>
        <w:jc w:val="left"/>
        <w:textAlignment w:val="baseline"/>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（一）</w:t>
      </w:r>
      <w:r>
        <w:rPr>
          <w:rFonts w:hint="eastAsia" w:ascii="宋体" w:hAnsi="宋体" w:eastAsia="宋体" w:cs="宋体"/>
          <w:kern w:val="0"/>
          <w:sz w:val="28"/>
          <w:szCs w:val="28"/>
        </w:rPr>
        <w:t>参数需求</w:t>
      </w:r>
    </w:p>
    <w:tbl>
      <w:tblPr>
        <w:tblStyle w:val="4"/>
        <w:tblW w:w="9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57"/>
        <w:gridCol w:w="3475"/>
        <w:gridCol w:w="1195"/>
        <w:gridCol w:w="1276"/>
        <w:gridCol w:w="1417"/>
        <w:gridCol w:w="1134"/>
      </w:tblGrid>
      <w:tr w14:paraId="7BE9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noWrap w:val="0"/>
            <w:tcMar>
              <w:top w:w="15" w:type="dxa"/>
              <w:left w:w="15" w:type="dxa"/>
              <w:right w:w="15" w:type="dxa"/>
            </w:tcMar>
            <w:vAlign w:val="center"/>
          </w:tcPr>
          <w:p w14:paraId="72B5688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服务子类</w:t>
            </w:r>
          </w:p>
        </w:tc>
        <w:tc>
          <w:tcPr>
            <w:tcW w:w="3475" w:type="dxa"/>
            <w:noWrap w:val="0"/>
            <w:tcMar>
              <w:top w:w="15" w:type="dxa"/>
              <w:left w:w="15" w:type="dxa"/>
              <w:right w:w="15" w:type="dxa"/>
            </w:tcMar>
            <w:vAlign w:val="center"/>
          </w:tcPr>
          <w:p w14:paraId="44C895A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服务项</w:t>
            </w:r>
          </w:p>
        </w:tc>
        <w:tc>
          <w:tcPr>
            <w:tcW w:w="1195" w:type="dxa"/>
            <w:noWrap w:val="0"/>
            <w:tcMar>
              <w:top w:w="15" w:type="dxa"/>
              <w:left w:w="15" w:type="dxa"/>
              <w:right w:w="15" w:type="dxa"/>
            </w:tcMar>
            <w:vAlign w:val="center"/>
          </w:tcPr>
          <w:p w14:paraId="3826FC2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计价单位</w:t>
            </w:r>
          </w:p>
        </w:tc>
        <w:tc>
          <w:tcPr>
            <w:tcW w:w="1276" w:type="dxa"/>
            <w:noWrap w:val="0"/>
            <w:tcMar>
              <w:top w:w="15" w:type="dxa"/>
              <w:left w:w="15" w:type="dxa"/>
              <w:right w:w="15" w:type="dxa"/>
            </w:tcMar>
            <w:vAlign w:val="center"/>
          </w:tcPr>
          <w:p w14:paraId="5B0273D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报价单位</w:t>
            </w:r>
          </w:p>
        </w:tc>
        <w:tc>
          <w:tcPr>
            <w:tcW w:w="1417" w:type="dxa"/>
            <w:noWrap w:val="0"/>
            <w:tcMar>
              <w:top w:w="15" w:type="dxa"/>
              <w:left w:w="15" w:type="dxa"/>
              <w:right w:w="15" w:type="dxa"/>
            </w:tcMar>
            <w:vAlign w:val="center"/>
          </w:tcPr>
          <w:p w14:paraId="7EB2CC4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期限（月）</w:t>
            </w:r>
          </w:p>
        </w:tc>
        <w:tc>
          <w:tcPr>
            <w:tcW w:w="1134" w:type="dxa"/>
            <w:noWrap w:val="0"/>
            <w:tcMar>
              <w:top w:w="15" w:type="dxa"/>
              <w:left w:w="15" w:type="dxa"/>
              <w:right w:w="15" w:type="dxa"/>
            </w:tcMar>
            <w:vAlign w:val="center"/>
          </w:tcPr>
          <w:p w14:paraId="4957366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数量</w:t>
            </w:r>
          </w:p>
        </w:tc>
      </w:tr>
      <w:tr w14:paraId="1CC9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restart"/>
            <w:noWrap w:val="0"/>
            <w:tcMar>
              <w:top w:w="15" w:type="dxa"/>
              <w:left w:w="15" w:type="dxa"/>
              <w:right w:w="15" w:type="dxa"/>
            </w:tcMar>
            <w:vAlign w:val="center"/>
          </w:tcPr>
          <w:p w14:paraId="7E39889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计算服务</w:t>
            </w:r>
          </w:p>
        </w:tc>
        <w:tc>
          <w:tcPr>
            <w:tcW w:w="3475" w:type="dxa"/>
            <w:noWrap w:val="0"/>
            <w:tcMar>
              <w:top w:w="15" w:type="dxa"/>
              <w:left w:w="15" w:type="dxa"/>
              <w:right w:w="15" w:type="dxa"/>
            </w:tcMar>
            <w:vAlign w:val="center"/>
          </w:tcPr>
          <w:p w14:paraId="217C770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vCPU</w:t>
            </w:r>
          </w:p>
        </w:tc>
        <w:tc>
          <w:tcPr>
            <w:tcW w:w="1195" w:type="dxa"/>
            <w:noWrap w:val="0"/>
            <w:tcMar>
              <w:top w:w="15" w:type="dxa"/>
              <w:left w:w="15" w:type="dxa"/>
              <w:right w:w="15" w:type="dxa"/>
            </w:tcMar>
            <w:vAlign w:val="center"/>
          </w:tcPr>
          <w:p w14:paraId="185BA7E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CPU</w:t>
            </w:r>
          </w:p>
        </w:tc>
        <w:tc>
          <w:tcPr>
            <w:tcW w:w="1276" w:type="dxa"/>
            <w:noWrap w:val="0"/>
            <w:tcMar>
              <w:top w:w="15" w:type="dxa"/>
              <w:left w:w="15" w:type="dxa"/>
              <w:right w:w="15" w:type="dxa"/>
            </w:tcMar>
            <w:vAlign w:val="center"/>
          </w:tcPr>
          <w:p w14:paraId="1A1E6BD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7AEF8FB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3F64A38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4070</w:t>
            </w:r>
          </w:p>
        </w:tc>
      </w:tr>
      <w:tr w14:paraId="4365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0D92ECB5">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71B7015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内存</w:t>
            </w:r>
          </w:p>
        </w:tc>
        <w:tc>
          <w:tcPr>
            <w:tcW w:w="1195" w:type="dxa"/>
            <w:noWrap w:val="0"/>
            <w:tcMar>
              <w:top w:w="15" w:type="dxa"/>
              <w:left w:w="15" w:type="dxa"/>
              <w:right w:w="15" w:type="dxa"/>
            </w:tcMar>
            <w:vAlign w:val="center"/>
          </w:tcPr>
          <w:p w14:paraId="2D4B2D6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GB</w:t>
            </w:r>
          </w:p>
        </w:tc>
        <w:tc>
          <w:tcPr>
            <w:tcW w:w="1276" w:type="dxa"/>
            <w:noWrap w:val="0"/>
            <w:tcMar>
              <w:top w:w="15" w:type="dxa"/>
              <w:left w:w="15" w:type="dxa"/>
              <w:right w:w="15" w:type="dxa"/>
            </w:tcMar>
            <w:vAlign w:val="center"/>
          </w:tcPr>
          <w:p w14:paraId="4C4EE59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2A61520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48B68B1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5496</w:t>
            </w:r>
          </w:p>
        </w:tc>
      </w:tr>
      <w:tr w14:paraId="49C7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65A419F9">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DC77DC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X86物理服务器租用</w:t>
            </w:r>
          </w:p>
        </w:tc>
        <w:tc>
          <w:tcPr>
            <w:tcW w:w="1195" w:type="dxa"/>
            <w:noWrap w:val="0"/>
            <w:tcMar>
              <w:top w:w="15" w:type="dxa"/>
              <w:left w:w="15" w:type="dxa"/>
              <w:right w:w="15" w:type="dxa"/>
            </w:tcMar>
            <w:vAlign w:val="center"/>
          </w:tcPr>
          <w:p w14:paraId="60154CF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1台</w:t>
            </w:r>
          </w:p>
        </w:tc>
        <w:tc>
          <w:tcPr>
            <w:tcW w:w="1276" w:type="dxa"/>
            <w:noWrap w:val="0"/>
            <w:tcMar>
              <w:top w:w="15" w:type="dxa"/>
              <w:left w:w="15" w:type="dxa"/>
              <w:right w:w="15" w:type="dxa"/>
            </w:tcMar>
            <w:vAlign w:val="center"/>
          </w:tcPr>
          <w:p w14:paraId="0009BC8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3FCF92D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378047E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r>
      <w:tr w14:paraId="4186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restart"/>
            <w:noWrap w:val="0"/>
            <w:tcMar>
              <w:top w:w="15" w:type="dxa"/>
              <w:left w:w="15" w:type="dxa"/>
              <w:right w:w="15" w:type="dxa"/>
            </w:tcMar>
            <w:vAlign w:val="center"/>
          </w:tcPr>
          <w:p w14:paraId="772F346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存储服务</w:t>
            </w:r>
          </w:p>
        </w:tc>
        <w:tc>
          <w:tcPr>
            <w:tcW w:w="3475" w:type="dxa"/>
            <w:noWrap w:val="0"/>
            <w:tcMar>
              <w:top w:w="15" w:type="dxa"/>
              <w:left w:w="15" w:type="dxa"/>
              <w:right w:w="15" w:type="dxa"/>
            </w:tcMar>
            <w:vAlign w:val="center"/>
          </w:tcPr>
          <w:p w14:paraId="35AEFA6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普通存储</w:t>
            </w:r>
          </w:p>
        </w:tc>
        <w:tc>
          <w:tcPr>
            <w:tcW w:w="1195" w:type="dxa"/>
            <w:noWrap w:val="0"/>
            <w:tcMar>
              <w:top w:w="15" w:type="dxa"/>
              <w:left w:w="15" w:type="dxa"/>
              <w:right w:w="15" w:type="dxa"/>
            </w:tcMar>
            <w:vAlign w:val="center"/>
          </w:tcPr>
          <w:p w14:paraId="506A120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GB</w:t>
            </w:r>
          </w:p>
        </w:tc>
        <w:tc>
          <w:tcPr>
            <w:tcW w:w="1276" w:type="dxa"/>
            <w:noWrap w:val="0"/>
            <w:tcMar>
              <w:top w:w="15" w:type="dxa"/>
              <w:left w:w="15" w:type="dxa"/>
              <w:right w:w="15" w:type="dxa"/>
            </w:tcMar>
            <w:vAlign w:val="center"/>
          </w:tcPr>
          <w:p w14:paraId="5FE3DBE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53DAF72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0BA4C8F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76200</w:t>
            </w:r>
          </w:p>
        </w:tc>
      </w:tr>
      <w:tr w14:paraId="2360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612E32A7">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A10791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高性能存储</w:t>
            </w:r>
          </w:p>
        </w:tc>
        <w:tc>
          <w:tcPr>
            <w:tcW w:w="1195" w:type="dxa"/>
            <w:noWrap w:val="0"/>
            <w:tcMar>
              <w:top w:w="15" w:type="dxa"/>
              <w:left w:w="15" w:type="dxa"/>
              <w:right w:w="15" w:type="dxa"/>
            </w:tcMar>
            <w:vAlign w:val="center"/>
          </w:tcPr>
          <w:p w14:paraId="6A9CD19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GB</w:t>
            </w:r>
          </w:p>
        </w:tc>
        <w:tc>
          <w:tcPr>
            <w:tcW w:w="1276" w:type="dxa"/>
            <w:noWrap w:val="0"/>
            <w:tcMar>
              <w:top w:w="15" w:type="dxa"/>
              <w:left w:w="15" w:type="dxa"/>
              <w:right w:w="15" w:type="dxa"/>
            </w:tcMar>
            <w:vAlign w:val="center"/>
          </w:tcPr>
          <w:p w14:paraId="7399085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6A1AEEB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793FB84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61640</w:t>
            </w:r>
          </w:p>
        </w:tc>
      </w:tr>
      <w:tr w14:paraId="0541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7E0E1B48">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3F5C9C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静态存储</w:t>
            </w:r>
          </w:p>
        </w:tc>
        <w:tc>
          <w:tcPr>
            <w:tcW w:w="1195" w:type="dxa"/>
            <w:noWrap w:val="0"/>
            <w:tcMar>
              <w:top w:w="15" w:type="dxa"/>
              <w:left w:w="15" w:type="dxa"/>
              <w:right w:w="15" w:type="dxa"/>
            </w:tcMar>
            <w:vAlign w:val="center"/>
          </w:tcPr>
          <w:p w14:paraId="2C2D595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1TB</w:t>
            </w:r>
          </w:p>
        </w:tc>
        <w:tc>
          <w:tcPr>
            <w:tcW w:w="1276" w:type="dxa"/>
            <w:noWrap w:val="0"/>
            <w:tcMar>
              <w:top w:w="15" w:type="dxa"/>
              <w:left w:w="15" w:type="dxa"/>
              <w:right w:w="15" w:type="dxa"/>
            </w:tcMar>
            <w:vAlign w:val="center"/>
          </w:tcPr>
          <w:p w14:paraId="48BB883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1C4FBB2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21DD563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100</w:t>
            </w:r>
          </w:p>
        </w:tc>
      </w:tr>
      <w:tr w14:paraId="6A94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0CCDD790">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0AEA43E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本地备份服务</w:t>
            </w:r>
          </w:p>
        </w:tc>
        <w:tc>
          <w:tcPr>
            <w:tcW w:w="1195" w:type="dxa"/>
            <w:noWrap w:val="0"/>
            <w:tcMar>
              <w:top w:w="15" w:type="dxa"/>
              <w:left w:w="15" w:type="dxa"/>
              <w:right w:w="15" w:type="dxa"/>
            </w:tcMar>
            <w:vAlign w:val="center"/>
          </w:tcPr>
          <w:p w14:paraId="2B94F18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1GB</w:t>
            </w:r>
          </w:p>
        </w:tc>
        <w:tc>
          <w:tcPr>
            <w:tcW w:w="1276" w:type="dxa"/>
            <w:noWrap w:val="0"/>
            <w:tcMar>
              <w:top w:w="15" w:type="dxa"/>
              <w:left w:w="15" w:type="dxa"/>
              <w:right w:w="15" w:type="dxa"/>
            </w:tcMar>
            <w:vAlign w:val="center"/>
          </w:tcPr>
          <w:p w14:paraId="7408841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1B3C6E9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694BAB1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76200</w:t>
            </w:r>
          </w:p>
        </w:tc>
      </w:tr>
      <w:tr w14:paraId="5AA7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restart"/>
            <w:noWrap w:val="0"/>
            <w:tcMar>
              <w:top w:w="15" w:type="dxa"/>
              <w:left w:w="15" w:type="dxa"/>
              <w:right w:w="15" w:type="dxa"/>
            </w:tcMar>
            <w:vAlign w:val="center"/>
          </w:tcPr>
          <w:p w14:paraId="5BC2A7A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网络服务</w:t>
            </w:r>
          </w:p>
        </w:tc>
        <w:tc>
          <w:tcPr>
            <w:tcW w:w="3475" w:type="dxa"/>
            <w:noWrap w:val="0"/>
            <w:tcMar>
              <w:top w:w="15" w:type="dxa"/>
              <w:left w:w="15" w:type="dxa"/>
              <w:right w:w="15" w:type="dxa"/>
            </w:tcMar>
            <w:vAlign w:val="center"/>
          </w:tcPr>
          <w:p w14:paraId="5346583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主机负载均衡服务</w:t>
            </w:r>
          </w:p>
        </w:tc>
        <w:tc>
          <w:tcPr>
            <w:tcW w:w="1195" w:type="dxa"/>
            <w:noWrap w:val="0"/>
            <w:tcMar>
              <w:top w:w="15" w:type="dxa"/>
              <w:left w:w="15" w:type="dxa"/>
              <w:right w:w="15" w:type="dxa"/>
            </w:tcMar>
            <w:vAlign w:val="center"/>
          </w:tcPr>
          <w:p w14:paraId="482BC37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IP</w:t>
            </w:r>
          </w:p>
        </w:tc>
        <w:tc>
          <w:tcPr>
            <w:tcW w:w="1276" w:type="dxa"/>
            <w:noWrap w:val="0"/>
            <w:tcMar>
              <w:top w:w="15" w:type="dxa"/>
              <w:left w:w="15" w:type="dxa"/>
              <w:right w:w="15" w:type="dxa"/>
            </w:tcMar>
            <w:vAlign w:val="center"/>
          </w:tcPr>
          <w:p w14:paraId="4833D5A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1BB0783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AB0CDE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10</w:t>
            </w:r>
          </w:p>
        </w:tc>
      </w:tr>
      <w:tr w14:paraId="13B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1E5E86D5">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2D351CE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WAF防护</w:t>
            </w:r>
          </w:p>
        </w:tc>
        <w:tc>
          <w:tcPr>
            <w:tcW w:w="1195" w:type="dxa"/>
            <w:noWrap w:val="0"/>
            <w:tcMar>
              <w:top w:w="15" w:type="dxa"/>
              <w:left w:w="15" w:type="dxa"/>
              <w:right w:w="15" w:type="dxa"/>
            </w:tcMar>
            <w:vAlign w:val="center"/>
          </w:tcPr>
          <w:p w14:paraId="36C2A32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IP</w:t>
            </w:r>
          </w:p>
        </w:tc>
        <w:tc>
          <w:tcPr>
            <w:tcW w:w="1276" w:type="dxa"/>
            <w:noWrap w:val="0"/>
            <w:tcMar>
              <w:top w:w="15" w:type="dxa"/>
              <w:left w:w="15" w:type="dxa"/>
              <w:right w:w="15" w:type="dxa"/>
            </w:tcMar>
            <w:vAlign w:val="center"/>
          </w:tcPr>
          <w:p w14:paraId="787C7F5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6A8C88E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5CE0C88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6EDE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6BD305C4">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4DC4073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互联网链路带宽</w:t>
            </w:r>
          </w:p>
        </w:tc>
        <w:tc>
          <w:tcPr>
            <w:tcW w:w="1195" w:type="dxa"/>
            <w:noWrap w:val="0"/>
            <w:tcMar>
              <w:top w:w="15" w:type="dxa"/>
              <w:left w:w="15" w:type="dxa"/>
              <w:right w:w="15" w:type="dxa"/>
            </w:tcMar>
            <w:vAlign w:val="center"/>
          </w:tcPr>
          <w:p w14:paraId="4364141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Mb</w:t>
            </w:r>
          </w:p>
        </w:tc>
        <w:tc>
          <w:tcPr>
            <w:tcW w:w="1276" w:type="dxa"/>
            <w:noWrap w:val="0"/>
            <w:tcMar>
              <w:top w:w="15" w:type="dxa"/>
              <w:left w:w="15" w:type="dxa"/>
              <w:right w:w="15" w:type="dxa"/>
            </w:tcMar>
            <w:vAlign w:val="center"/>
          </w:tcPr>
          <w:p w14:paraId="27DC2A4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3664B03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FBE16F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1024</w:t>
            </w:r>
          </w:p>
        </w:tc>
      </w:tr>
      <w:tr w14:paraId="1525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157" w:type="dxa"/>
            <w:vMerge w:val="continue"/>
            <w:noWrap w:val="0"/>
            <w:tcMar>
              <w:top w:w="15" w:type="dxa"/>
              <w:left w:w="15" w:type="dxa"/>
              <w:right w:w="15" w:type="dxa"/>
            </w:tcMar>
            <w:vAlign w:val="center"/>
          </w:tcPr>
          <w:p w14:paraId="09B0FFD3">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1AB4643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互联网IP地址租用服务、并提供备案服务</w:t>
            </w:r>
          </w:p>
        </w:tc>
        <w:tc>
          <w:tcPr>
            <w:tcW w:w="1195" w:type="dxa"/>
            <w:noWrap w:val="0"/>
            <w:tcMar>
              <w:top w:w="15" w:type="dxa"/>
              <w:left w:w="15" w:type="dxa"/>
              <w:right w:w="15" w:type="dxa"/>
            </w:tcMar>
            <w:vAlign w:val="center"/>
          </w:tcPr>
          <w:p w14:paraId="289BB0B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 IP</w:t>
            </w:r>
          </w:p>
        </w:tc>
        <w:tc>
          <w:tcPr>
            <w:tcW w:w="1276" w:type="dxa"/>
            <w:noWrap w:val="0"/>
            <w:tcMar>
              <w:top w:w="15" w:type="dxa"/>
              <w:left w:w="15" w:type="dxa"/>
              <w:right w:w="15" w:type="dxa"/>
            </w:tcMar>
            <w:vAlign w:val="center"/>
          </w:tcPr>
          <w:p w14:paraId="4B4AA1B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690E1DD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46CF513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87</w:t>
            </w:r>
          </w:p>
        </w:tc>
      </w:tr>
      <w:tr w14:paraId="7D01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7F56E811">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5C8843E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远程接入服务</w:t>
            </w:r>
          </w:p>
        </w:tc>
        <w:tc>
          <w:tcPr>
            <w:tcW w:w="1195" w:type="dxa"/>
            <w:noWrap w:val="0"/>
            <w:tcMar>
              <w:top w:w="15" w:type="dxa"/>
              <w:left w:w="15" w:type="dxa"/>
              <w:right w:w="15" w:type="dxa"/>
            </w:tcMar>
            <w:vAlign w:val="center"/>
          </w:tcPr>
          <w:p w14:paraId="644CFAF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1账号</w:t>
            </w:r>
          </w:p>
        </w:tc>
        <w:tc>
          <w:tcPr>
            <w:tcW w:w="1276" w:type="dxa"/>
            <w:noWrap w:val="0"/>
            <w:tcMar>
              <w:top w:w="15" w:type="dxa"/>
              <w:left w:w="15" w:type="dxa"/>
              <w:right w:w="15" w:type="dxa"/>
            </w:tcMar>
            <w:vAlign w:val="center"/>
          </w:tcPr>
          <w:p w14:paraId="4D3CBD9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33BCB98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5E9825D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19</w:t>
            </w:r>
          </w:p>
        </w:tc>
      </w:tr>
      <w:tr w14:paraId="4271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5FB31CA9">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02ADE1A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VPN服务</w:t>
            </w:r>
          </w:p>
        </w:tc>
        <w:tc>
          <w:tcPr>
            <w:tcW w:w="1195" w:type="dxa"/>
            <w:noWrap w:val="0"/>
            <w:tcMar>
              <w:top w:w="15" w:type="dxa"/>
              <w:left w:w="15" w:type="dxa"/>
              <w:right w:w="15" w:type="dxa"/>
            </w:tcMar>
            <w:vAlign w:val="center"/>
          </w:tcPr>
          <w:p w14:paraId="4E2C164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14E8787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0307811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7D22994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6</w:t>
            </w:r>
          </w:p>
        </w:tc>
      </w:tr>
      <w:tr w14:paraId="43FD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23293533">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5768065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SSL证书</w:t>
            </w:r>
          </w:p>
        </w:tc>
        <w:tc>
          <w:tcPr>
            <w:tcW w:w="1195" w:type="dxa"/>
            <w:noWrap w:val="0"/>
            <w:tcMar>
              <w:top w:w="15" w:type="dxa"/>
              <w:left w:w="15" w:type="dxa"/>
              <w:right w:w="15" w:type="dxa"/>
            </w:tcMar>
            <w:vAlign w:val="center"/>
          </w:tcPr>
          <w:p w14:paraId="5533EC2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1个</w:t>
            </w:r>
          </w:p>
        </w:tc>
        <w:tc>
          <w:tcPr>
            <w:tcW w:w="1276" w:type="dxa"/>
            <w:noWrap w:val="0"/>
            <w:tcMar>
              <w:top w:w="15" w:type="dxa"/>
              <w:left w:w="15" w:type="dxa"/>
              <w:right w:w="15" w:type="dxa"/>
            </w:tcMar>
            <w:vAlign w:val="center"/>
          </w:tcPr>
          <w:p w14:paraId="37D143F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6870FC9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9C62A6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3</w:t>
            </w:r>
          </w:p>
        </w:tc>
      </w:tr>
      <w:tr w14:paraId="4C6C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restart"/>
            <w:noWrap w:val="0"/>
            <w:tcMar>
              <w:top w:w="15" w:type="dxa"/>
              <w:left w:w="15" w:type="dxa"/>
              <w:right w:w="15" w:type="dxa"/>
            </w:tcMar>
            <w:vAlign w:val="center"/>
          </w:tcPr>
          <w:p w14:paraId="5312C6B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扩展服务</w:t>
            </w:r>
          </w:p>
        </w:tc>
        <w:tc>
          <w:tcPr>
            <w:tcW w:w="3475" w:type="dxa"/>
            <w:noWrap w:val="0"/>
            <w:tcMar>
              <w:top w:w="15" w:type="dxa"/>
              <w:left w:w="15" w:type="dxa"/>
              <w:right w:w="15" w:type="dxa"/>
            </w:tcMar>
            <w:vAlign w:val="center"/>
          </w:tcPr>
          <w:p w14:paraId="030DDB4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商用操作系统租用服务</w:t>
            </w:r>
          </w:p>
        </w:tc>
        <w:tc>
          <w:tcPr>
            <w:tcW w:w="1195" w:type="dxa"/>
            <w:noWrap w:val="0"/>
            <w:tcMar>
              <w:top w:w="15" w:type="dxa"/>
              <w:left w:w="15" w:type="dxa"/>
              <w:right w:w="15" w:type="dxa"/>
            </w:tcMar>
            <w:vAlign w:val="center"/>
          </w:tcPr>
          <w:p w14:paraId="4BACF88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45FD34C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480633E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3008B52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56</w:t>
            </w:r>
          </w:p>
        </w:tc>
      </w:tr>
      <w:tr w14:paraId="59C3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132900E9">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4C44758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数据库租用服务</w:t>
            </w:r>
          </w:p>
        </w:tc>
        <w:tc>
          <w:tcPr>
            <w:tcW w:w="1195" w:type="dxa"/>
            <w:noWrap w:val="0"/>
            <w:tcMar>
              <w:top w:w="15" w:type="dxa"/>
              <w:left w:w="15" w:type="dxa"/>
              <w:right w:w="15" w:type="dxa"/>
            </w:tcMar>
            <w:vAlign w:val="center"/>
          </w:tcPr>
          <w:p w14:paraId="0EDBC9B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14EDDFB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元/套</w:t>
            </w:r>
          </w:p>
        </w:tc>
        <w:tc>
          <w:tcPr>
            <w:tcW w:w="1417" w:type="dxa"/>
            <w:noWrap w:val="0"/>
            <w:tcMar>
              <w:top w:w="15" w:type="dxa"/>
              <w:left w:w="15" w:type="dxa"/>
              <w:right w:w="15" w:type="dxa"/>
            </w:tcMar>
            <w:vAlign w:val="center"/>
          </w:tcPr>
          <w:p w14:paraId="27F4E62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6D60A6E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2AB0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6F5A437C">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9C4CC0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渗透测试服务</w:t>
            </w:r>
          </w:p>
        </w:tc>
        <w:tc>
          <w:tcPr>
            <w:tcW w:w="1195" w:type="dxa"/>
            <w:noWrap w:val="0"/>
            <w:tcMar>
              <w:top w:w="15" w:type="dxa"/>
              <w:left w:w="15" w:type="dxa"/>
              <w:right w:w="15" w:type="dxa"/>
            </w:tcMar>
            <w:vAlign w:val="center"/>
          </w:tcPr>
          <w:p w14:paraId="2906FA2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1次</w:t>
            </w:r>
          </w:p>
        </w:tc>
        <w:tc>
          <w:tcPr>
            <w:tcW w:w="1276" w:type="dxa"/>
            <w:noWrap w:val="0"/>
            <w:tcMar>
              <w:top w:w="15" w:type="dxa"/>
              <w:left w:w="15" w:type="dxa"/>
              <w:right w:w="15" w:type="dxa"/>
            </w:tcMar>
            <w:vAlign w:val="center"/>
          </w:tcPr>
          <w:p w14:paraId="2C50E9C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元/次</w:t>
            </w:r>
          </w:p>
        </w:tc>
        <w:tc>
          <w:tcPr>
            <w:tcW w:w="1417" w:type="dxa"/>
            <w:noWrap w:val="0"/>
            <w:tcMar>
              <w:top w:w="15" w:type="dxa"/>
              <w:left w:w="15" w:type="dxa"/>
              <w:right w:w="15" w:type="dxa"/>
            </w:tcMar>
            <w:vAlign w:val="center"/>
          </w:tcPr>
          <w:p w14:paraId="34ABC94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5847424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4</w:t>
            </w:r>
          </w:p>
        </w:tc>
      </w:tr>
      <w:tr w14:paraId="5975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2159C98D">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0FD3E5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主机安全加固服务</w:t>
            </w:r>
          </w:p>
        </w:tc>
        <w:tc>
          <w:tcPr>
            <w:tcW w:w="1195" w:type="dxa"/>
            <w:noWrap w:val="0"/>
            <w:tcMar>
              <w:top w:w="15" w:type="dxa"/>
              <w:left w:w="15" w:type="dxa"/>
              <w:right w:w="15" w:type="dxa"/>
            </w:tcMar>
            <w:vAlign w:val="center"/>
          </w:tcPr>
          <w:p w14:paraId="3672948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1次</w:t>
            </w:r>
          </w:p>
        </w:tc>
        <w:tc>
          <w:tcPr>
            <w:tcW w:w="1276" w:type="dxa"/>
            <w:noWrap w:val="0"/>
            <w:tcMar>
              <w:top w:w="15" w:type="dxa"/>
              <w:left w:w="15" w:type="dxa"/>
              <w:right w:w="15" w:type="dxa"/>
            </w:tcMar>
            <w:vAlign w:val="center"/>
          </w:tcPr>
          <w:p w14:paraId="1381575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元/次</w:t>
            </w:r>
          </w:p>
        </w:tc>
        <w:tc>
          <w:tcPr>
            <w:tcW w:w="1417" w:type="dxa"/>
            <w:noWrap w:val="0"/>
            <w:tcMar>
              <w:top w:w="15" w:type="dxa"/>
              <w:left w:w="15" w:type="dxa"/>
              <w:right w:w="15" w:type="dxa"/>
            </w:tcMar>
            <w:vAlign w:val="center"/>
          </w:tcPr>
          <w:p w14:paraId="1072EDD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0D8F5EF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135</w:t>
            </w:r>
          </w:p>
        </w:tc>
      </w:tr>
      <w:tr w14:paraId="3D8F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39D580E7">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5F9C26E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云防护服务</w:t>
            </w:r>
          </w:p>
        </w:tc>
        <w:tc>
          <w:tcPr>
            <w:tcW w:w="1195" w:type="dxa"/>
            <w:noWrap w:val="0"/>
            <w:tcMar>
              <w:top w:w="15" w:type="dxa"/>
              <w:left w:w="15" w:type="dxa"/>
              <w:right w:w="15" w:type="dxa"/>
            </w:tcMar>
            <w:vAlign w:val="center"/>
          </w:tcPr>
          <w:p w14:paraId="24F91AC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3B13FE4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元/套</w:t>
            </w:r>
          </w:p>
        </w:tc>
        <w:tc>
          <w:tcPr>
            <w:tcW w:w="1417" w:type="dxa"/>
            <w:noWrap w:val="0"/>
            <w:tcMar>
              <w:top w:w="15" w:type="dxa"/>
              <w:left w:w="15" w:type="dxa"/>
              <w:right w:w="15" w:type="dxa"/>
            </w:tcMar>
            <w:vAlign w:val="center"/>
          </w:tcPr>
          <w:p w14:paraId="0C12EAD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00F421A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r>
      <w:tr w14:paraId="73D2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555E8C1E">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7512287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人脸识别系统维保服务</w:t>
            </w:r>
          </w:p>
        </w:tc>
        <w:tc>
          <w:tcPr>
            <w:tcW w:w="1195" w:type="dxa"/>
            <w:noWrap w:val="0"/>
            <w:tcMar>
              <w:top w:w="15" w:type="dxa"/>
              <w:left w:w="15" w:type="dxa"/>
              <w:right w:w="15" w:type="dxa"/>
            </w:tcMar>
            <w:vAlign w:val="center"/>
          </w:tcPr>
          <w:p w14:paraId="189E479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1718B70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元/套</w:t>
            </w:r>
          </w:p>
        </w:tc>
        <w:tc>
          <w:tcPr>
            <w:tcW w:w="1417" w:type="dxa"/>
            <w:noWrap w:val="0"/>
            <w:tcMar>
              <w:top w:w="15" w:type="dxa"/>
              <w:left w:w="15" w:type="dxa"/>
              <w:right w:w="15" w:type="dxa"/>
            </w:tcMar>
            <w:vAlign w:val="center"/>
          </w:tcPr>
          <w:p w14:paraId="668585A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626CB57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w:t>
            </w:r>
          </w:p>
        </w:tc>
      </w:tr>
      <w:tr w14:paraId="7744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4C9944A6">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4D7A5AF4">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漏洞扫描服务</w:t>
            </w:r>
          </w:p>
        </w:tc>
        <w:tc>
          <w:tcPr>
            <w:tcW w:w="1195" w:type="dxa"/>
            <w:noWrap w:val="0"/>
            <w:tcMar>
              <w:top w:w="15" w:type="dxa"/>
              <w:left w:w="15" w:type="dxa"/>
              <w:right w:w="15" w:type="dxa"/>
            </w:tcMar>
            <w:vAlign w:val="center"/>
          </w:tcPr>
          <w:p w14:paraId="034C7EF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1次</w:t>
            </w:r>
          </w:p>
        </w:tc>
        <w:tc>
          <w:tcPr>
            <w:tcW w:w="1276" w:type="dxa"/>
            <w:noWrap w:val="0"/>
            <w:tcMar>
              <w:top w:w="15" w:type="dxa"/>
              <w:left w:w="15" w:type="dxa"/>
              <w:right w:w="15" w:type="dxa"/>
            </w:tcMar>
            <w:vAlign w:val="center"/>
          </w:tcPr>
          <w:p w14:paraId="7C92F0F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元/次</w:t>
            </w:r>
          </w:p>
        </w:tc>
        <w:tc>
          <w:tcPr>
            <w:tcW w:w="1417" w:type="dxa"/>
            <w:noWrap w:val="0"/>
            <w:tcMar>
              <w:top w:w="15" w:type="dxa"/>
              <w:left w:w="15" w:type="dxa"/>
              <w:right w:w="15" w:type="dxa"/>
            </w:tcMar>
            <w:vAlign w:val="center"/>
          </w:tcPr>
          <w:p w14:paraId="51A1E27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714BDC7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r>
      <w:tr w14:paraId="2ED5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59197148">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3454DAE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主机日志分析</w:t>
            </w:r>
          </w:p>
        </w:tc>
        <w:tc>
          <w:tcPr>
            <w:tcW w:w="1195" w:type="dxa"/>
            <w:noWrap w:val="0"/>
            <w:tcMar>
              <w:top w:w="15" w:type="dxa"/>
              <w:left w:w="15" w:type="dxa"/>
              <w:right w:w="15" w:type="dxa"/>
            </w:tcMar>
            <w:vAlign w:val="center"/>
          </w:tcPr>
          <w:p w14:paraId="7820AD4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1台</w:t>
            </w:r>
          </w:p>
        </w:tc>
        <w:tc>
          <w:tcPr>
            <w:tcW w:w="1276" w:type="dxa"/>
            <w:noWrap w:val="0"/>
            <w:tcMar>
              <w:top w:w="15" w:type="dxa"/>
              <w:left w:w="15" w:type="dxa"/>
              <w:right w:w="15" w:type="dxa"/>
            </w:tcMar>
            <w:vAlign w:val="center"/>
          </w:tcPr>
          <w:p w14:paraId="10090AE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388E9D8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4FB892D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26</w:t>
            </w:r>
          </w:p>
        </w:tc>
      </w:tr>
      <w:tr w14:paraId="7D80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160F234E">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66A1875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数据库审计服务</w:t>
            </w:r>
          </w:p>
        </w:tc>
        <w:tc>
          <w:tcPr>
            <w:tcW w:w="1195" w:type="dxa"/>
            <w:noWrap w:val="0"/>
            <w:tcMar>
              <w:top w:w="15" w:type="dxa"/>
              <w:left w:w="15" w:type="dxa"/>
              <w:right w:w="15" w:type="dxa"/>
            </w:tcMar>
            <w:vAlign w:val="center"/>
          </w:tcPr>
          <w:p w14:paraId="605ECA6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792BB69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560D89B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D35EBF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332D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25125EED">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5F24374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主机防护</w:t>
            </w:r>
          </w:p>
        </w:tc>
        <w:tc>
          <w:tcPr>
            <w:tcW w:w="1195" w:type="dxa"/>
            <w:noWrap w:val="0"/>
            <w:tcMar>
              <w:top w:w="15" w:type="dxa"/>
              <w:left w:w="15" w:type="dxa"/>
              <w:right w:w="15" w:type="dxa"/>
            </w:tcMar>
            <w:vAlign w:val="center"/>
          </w:tcPr>
          <w:p w14:paraId="522436A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1台</w:t>
            </w:r>
          </w:p>
        </w:tc>
        <w:tc>
          <w:tcPr>
            <w:tcW w:w="1276" w:type="dxa"/>
            <w:noWrap w:val="0"/>
            <w:tcMar>
              <w:top w:w="15" w:type="dxa"/>
              <w:left w:w="15" w:type="dxa"/>
              <w:right w:w="15" w:type="dxa"/>
            </w:tcMar>
            <w:vAlign w:val="center"/>
          </w:tcPr>
          <w:p w14:paraId="77E8782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2E5DABA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48A231E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31</w:t>
            </w:r>
          </w:p>
        </w:tc>
      </w:tr>
      <w:tr w14:paraId="2256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452ED9BA">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1DB6C22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主机杀毒服务</w:t>
            </w:r>
          </w:p>
        </w:tc>
        <w:tc>
          <w:tcPr>
            <w:tcW w:w="1195" w:type="dxa"/>
            <w:noWrap w:val="0"/>
            <w:tcMar>
              <w:top w:w="15" w:type="dxa"/>
              <w:left w:w="15" w:type="dxa"/>
              <w:right w:w="15" w:type="dxa"/>
            </w:tcMar>
            <w:vAlign w:val="center"/>
          </w:tcPr>
          <w:p w14:paraId="02249276">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1台</w:t>
            </w:r>
          </w:p>
        </w:tc>
        <w:tc>
          <w:tcPr>
            <w:tcW w:w="1276" w:type="dxa"/>
            <w:noWrap w:val="0"/>
            <w:tcMar>
              <w:top w:w="15" w:type="dxa"/>
              <w:left w:w="15" w:type="dxa"/>
              <w:right w:w="15" w:type="dxa"/>
            </w:tcMar>
            <w:vAlign w:val="center"/>
          </w:tcPr>
          <w:p w14:paraId="29F12F6C">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3CBFDE8D">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37A7F87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34</w:t>
            </w:r>
          </w:p>
        </w:tc>
      </w:tr>
      <w:tr w14:paraId="7FF5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6E2141DA">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5254144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政务云SSL安全服务</w:t>
            </w:r>
          </w:p>
        </w:tc>
        <w:tc>
          <w:tcPr>
            <w:tcW w:w="1195" w:type="dxa"/>
            <w:noWrap w:val="0"/>
            <w:tcMar>
              <w:top w:w="15" w:type="dxa"/>
              <w:left w:w="15" w:type="dxa"/>
              <w:right w:w="15" w:type="dxa"/>
            </w:tcMar>
            <w:vAlign w:val="center"/>
          </w:tcPr>
          <w:p w14:paraId="4081C3C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3A138F30">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416176C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5BA9EBC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00AB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05B64D46">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1121D64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政务云签名验签服务</w:t>
            </w:r>
          </w:p>
        </w:tc>
        <w:tc>
          <w:tcPr>
            <w:tcW w:w="1195" w:type="dxa"/>
            <w:noWrap w:val="0"/>
            <w:tcMar>
              <w:top w:w="15" w:type="dxa"/>
              <w:left w:w="15" w:type="dxa"/>
              <w:right w:w="15" w:type="dxa"/>
            </w:tcMar>
            <w:vAlign w:val="center"/>
          </w:tcPr>
          <w:p w14:paraId="7BF408EB">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615AFF7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53E42D0A">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D861437">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0705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1157" w:type="dxa"/>
            <w:vMerge w:val="continue"/>
            <w:noWrap w:val="0"/>
            <w:tcMar>
              <w:top w:w="15" w:type="dxa"/>
              <w:left w:w="15" w:type="dxa"/>
              <w:right w:w="15" w:type="dxa"/>
            </w:tcMar>
            <w:vAlign w:val="center"/>
          </w:tcPr>
          <w:p w14:paraId="02F1D084">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7E2F1401">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政务云数字信封服务</w:t>
            </w:r>
          </w:p>
        </w:tc>
        <w:tc>
          <w:tcPr>
            <w:tcW w:w="1195" w:type="dxa"/>
            <w:noWrap w:val="0"/>
            <w:tcMar>
              <w:top w:w="15" w:type="dxa"/>
              <w:left w:w="15" w:type="dxa"/>
              <w:right w:w="15" w:type="dxa"/>
            </w:tcMar>
            <w:vAlign w:val="center"/>
          </w:tcPr>
          <w:p w14:paraId="4B5DFF0F">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0BCF05F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5D56DB38">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503DEC35">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r w14:paraId="02B6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157" w:type="dxa"/>
            <w:vMerge w:val="continue"/>
            <w:noWrap w:val="0"/>
            <w:tcMar>
              <w:top w:w="15" w:type="dxa"/>
              <w:left w:w="15" w:type="dxa"/>
              <w:right w:w="15" w:type="dxa"/>
            </w:tcMar>
            <w:vAlign w:val="center"/>
          </w:tcPr>
          <w:p w14:paraId="2639AC0B">
            <w:pPr>
              <w:widowControl/>
              <w:jc w:val="center"/>
              <w:textAlignment w:val="center"/>
              <w:rPr>
                <w:rFonts w:ascii="仿宋" w:hAnsi="仿宋" w:eastAsia="仿宋" w:cs="宋体"/>
                <w:color w:val="000000"/>
                <w:kern w:val="0"/>
                <w:sz w:val="24"/>
                <w:lang w:bidi="ar"/>
              </w:rPr>
            </w:pPr>
          </w:p>
        </w:tc>
        <w:tc>
          <w:tcPr>
            <w:tcW w:w="3475" w:type="dxa"/>
            <w:noWrap w:val="0"/>
            <w:tcMar>
              <w:top w:w="15" w:type="dxa"/>
              <w:left w:w="15" w:type="dxa"/>
              <w:right w:w="15" w:type="dxa"/>
            </w:tcMar>
            <w:vAlign w:val="center"/>
          </w:tcPr>
          <w:p w14:paraId="72E6BE4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公有云服务</w:t>
            </w:r>
          </w:p>
        </w:tc>
        <w:tc>
          <w:tcPr>
            <w:tcW w:w="1195" w:type="dxa"/>
            <w:noWrap w:val="0"/>
            <w:tcMar>
              <w:top w:w="15" w:type="dxa"/>
              <w:left w:w="15" w:type="dxa"/>
              <w:right w:w="15" w:type="dxa"/>
            </w:tcMar>
            <w:vAlign w:val="center"/>
          </w:tcPr>
          <w:p w14:paraId="17329BDE">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1套</w:t>
            </w:r>
          </w:p>
        </w:tc>
        <w:tc>
          <w:tcPr>
            <w:tcW w:w="1276" w:type="dxa"/>
            <w:noWrap w:val="0"/>
            <w:tcMar>
              <w:top w:w="15" w:type="dxa"/>
              <w:left w:w="15" w:type="dxa"/>
              <w:right w:w="15" w:type="dxa"/>
            </w:tcMar>
            <w:vAlign w:val="center"/>
          </w:tcPr>
          <w:p w14:paraId="63F1EDE9">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元/月</w:t>
            </w:r>
          </w:p>
        </w:tc>
        <w:tc>
          <w:tcPr>
            <w:tcW w:w="1417" w:type="dxa"/>
            <w:noWrap w:val="0"/>
            <w:tcMar>
              <w:top w:w="15" w:type="dxa"/>
              <w:left w:w="15" w:type="dxa"/>
              <w:right w:w="15" w:type="dxa"/>
            </w:tcMar>
            <w:vAlign w:val="center"/>
          </w:tcPr>
          <w:p w14:paraId="5C72BFB3">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12</w:t>
            </w:r>
          </w:p>
        </w:tc>
        <w:tc>
          <w:tcPr>
            <w:tcW w:w="1134" w:type="dxa"/>
            <w:noWrap w:val="0"/>
            <w:tcMar>
              <w:top w:w="15" w:type="dxa"/>
              <w:left w:w="15" w:type="dxa"/>
              <w:right w:w="15" w:type="dxa"/>
            </w:tcMar>
            <w:vAlign w:val="center"/>
          </w:tcPr>
          <w:p w14:paraId="11AEEB52">
            <w:pPr>
              <w:widowControl/>
              <w:jc w:val="center"/>
              <w:textAlignment w:val="center"/>
              <w:rPr>
                <w:rFonts w:ascii="仿宋" w:hAnsi="仿宋" w:eastAsia="仿宋" w:cs="宋体"/>
                <w:color w:val="000000"/>
                <w:kern w:val="0"/>
                <w:sz w:val="24"/>
                <w:lang w:bidi="ar"/>
              </w:rPr>
            </w:pPr>
            <w:r>
              <w:rPr>
                <w:rFonts w:hint="eastAsia" w:ascii="仿宋" w:hAnsi="仿宋" w:eastAsia="仿宋" w:cs="宋体"/>
                <w:color w:val="000000"/>
                <w:kern w:val="0"/>
                <w:sz w:val="24"/>
                <w:lang w:bidi="ar"/>
              </w:rPr>
              <w:t>1</w:t>
            </w:r>
          </w:p>
        </w:tc>
      </w:tr>
    </w:tbl>
    <w:p w14:paraId="1F0B9B70">
      <w:pPr>
        <w:adjustRightInd w:val="0"/>
        <w:spacing w:line="360" w:lineRule="auto"/>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（二）配套服务需求</w:t>
      </w:r>
    </w:p>
    <w:p w14:paraId="7DCD4ED5">
      <w:pPr>
        <w:adjustRightInd w:val="0"/>
        <w:spacing w:line="360" w:lineRule="auto"/>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1.政务云租赁服务</w:t>
      </w:r>
    </w:p>
    <w:p w14:paraId="2E1AE8D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应针对本项目提供总体服务方案、安全服务方案、运维服务方案、业务连续性服务方案。其中，总体服务方案须包含但不限于以下内容：提供计算服务方案、提供存储服务方案、提供网络服务方案、提供扩展服务方案。</w:t>
      </w:r>
    </w:p>
    <w:p w14:paraId="248AB073">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1.1计算服务 </w:t>
      </w:r>
    </w:p>
    <w:p w14:paraId="2A1D28E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按照采购人的具体需求，提供计算服务，包括：云主机服务和X86物理服务器租用服务，实现合理的计算资源配置。在提供服务的过程中需做好与采购人和对应项目应用开发厂商的协调沟通工作。</w:t>
      </w:r>
    </w:p>
    <w:p w14:paraId="4D03C0A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1.2存储服务 </w:t>
      </w:r>
    </w:p>
    <w:p w14:paraId="1FB2C0EC">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存储服务，包括：普通性能存储、高性能存储、静态存储和本地备份服务，实现合理的存储资源配置。在提供政务云存储的服务过程中需做好与采购人和对应项目应用开发厂商的协调沟通工作。</w:t>
      </w:r>
    </w:p>
    <w:p w14:paraId="69DA1F24">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1.3网络服务</w:t>
      </w:r>
    </w:p>
    <w:p w14:paraId="08530381">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按照采购人的具体需求，提供网络服务，包括：主机负载均衡服务、WAF防护服务、互联网链路带宽服务、互联网IP地址租用服务、远程接入服务、VPN服务和SSL证书服务。</w:t>
      </w:r>
    </w:p>
    <w:p w14:paraId="2A188728">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主机负载均衡服务</w:t>
      </w:r>
    </w:p>
    <w:p w14:paraId="6FA73758">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按照采购人的具体需求，提供主机负载均衡服务。</w:t>
      </w:r>
    </w:p>
    <w:p w14:paraId="1EC038ED">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WAF防护服务</w:t>
      </w:r>
    </w:p>
    <w:p w14:paraId="29A6361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按照采购人的需求，提供WAF防护服务。</w:t>
      </w:r>
    </w:p>
    <w:p w14:paraId="03ECD76C">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互联网链路服务</w:t>
      </w:r>
    </w:p>
    <w:p w14:paraId="1C0B3C5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按照采购人的具体需求，提供互联网链路带宽服务和互联网IP地址租用服务。</w:t>
      </w:r>
    </w:p>
    <w:p w14:paraId="733452A3">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 xml:space="preserve">远程接入服务 </w:t>
      </w:r>
    </w:p>
    <w:p w14:paraId="6F5FB31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按照采购人的具体需求，提供远程接入服务。</w:t>
      </w:r>
    </w:p>
    <w:p w14:paraId="159FB061">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VPN服务</w:t>
      </w:r>
    </w:p>
    <w:p w14:paraId="69741A2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w:t>
      </w:r>
      <w:r>
        <w:rPr>
          <w:rFonts w:hint="eastAsia" w:ascii="宋体" w:hAnsi="宋体" w:eastAsia="宋体" w:cs="宋体"/>
          <w:kern w:val="0"/>
          <w:sz w:val="28"/>
          <w:szCs w:val="28"/>
          <w:lang w:val="zh-CN" w:eastAsia="zh-CN"/>
        </w:rPr>
        <w:t>，</w:t>
      </w:r>
      <w:r>
        <w:rPr>
          <w:rFonts w:hint="eastAsia" w:ascii="宋体" w:hAnsi="宋体" w:eastAsia="宋体" w:cs="宋体"/>
          <w:kern w:val="0"/>
          <w:sz w:val="28"/>
          <w:szCs w:val="28"/>
          <w:lang w:val="en-US" w:eastAsia="zh-CN"/>
        </w:rPr>
        <w:t>提供VPN服务，保证用户可通过加密链路访问业务系统；</w:t>
      </w:r>
    </w:p>
    <w:p w14:paraId="67EE2D42">
      <w:pPr>
        <w:numPr>
          <w:ilvl w:val="0"/>
          <w:numId w:val="1"/>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SSL证书服务</w:t>
      </w:r>
    </w:p>
    <w:p w14:paraId="6BC12866">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按照采购人的具体需求，提供SSL证书服务，能够在客户端浏览器和Web服务器之间建立一条安全通道。</w:t>
      </w:r>
    </w:p>
    <w:p w14:paraId="1E84E2BB">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1.4扩展服务</w:t>
      </w:r>
    </w:p>
    <w:p w14:paraId="2B35EEE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有关管理规定及具体需求提供扩展服务，服务内容包含商用操作系统租用服务、数据库租用服务、渗透测试服务、主机安全加固服务、云防护服务、人脸识别系统维保服务、漏洞扫描服务、主机日志分析、数据库审计服务、主机防护、主机杀毒服务、密码服务和公有云服务。</w:t>
      </w:r>
    </w:p>
    <w:p w14:paraId="724ADEF3">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商用操作系统租用服务</w:t>
      </w:r>
    </w:p>
    <w:p w14:paraId="0E30CF77">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按照采购人具体需求，提供商用操作系统租用服务。</w:t>
      </w:r>
    </w:p>
    <w:p w14:paraId="5E5CB520">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数据库租用服务</w:t>
      </w:r>
    </w:p>
    <w:p w14:paraId="144CA218">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按照采购人具体需求，提供数据库租用服务。</w:t>
      </w:r>
    </w:p>
    <w:p w14:paraId="647E233C">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渗透测试服务</w:t>
      </w:r>
    </w:p>
    <w:p w14:paraId="48A66CF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按照采购人具体需求，提供针对指定应用系统的渗透测试服务。</w:t>
      </w:r>
    </w:p>
    <w:p w14:paraId="774E215F">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主机安全加固服务</w:t>
      </w:r>
    </w:p>
    <w:p w14:paraId="3E5DF30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按照漏洞扫描、渗透测试问题，提供主机安全加固服务。</w:t>
      </w:r>
    </w:p>
    <w:p w14:paraId="7271834C">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云防护服务</w:t>
      </w:r>
    </w:p>
    <w:p w14:paraId="0D26CF17">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业务系统现有需求，提供满足业务系统安全云防护措施，核心能力包括不限于各类WEB应用安全防护、抗DDOS、CC攻击防护、访问过滤、业务安全可视化分析，能有效阻拦系统被篡改、被漏洞攻击、恶意扫描等黑客行为，充分保障云上系统安全。</w:t>
      </w:r>
    </w:p>
    <w:p w14:paraId="13FE479E">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人脸识别系统维保服务</w:t>
      </w:r>
    </w:p>
    <w:p w14:paraId="48170A1C">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提供采购人在用人脸识别技术支撑服务系统软硬件维保服务。</w:t>
      </w:r>
    </w:p>
    <w:p w14:paraId="10C911AA">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漏洞扫描服务</w:t>
      </w:r>
    </w:p>
    <w:p w14:paraId="6E340A19">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按照采购人需求，定期对租用云主机开展漏洞扫描服务。</w:t>
      </w:r>
    </w:p>
    <w:p w14:paraId="3A6CE2E5">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主机日志分析服务</w:t>
      </w:r>
    </w:p>
    <w:p w14:paraId="76D0131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按照采购人的具体需求，提供主机日志分析服务。</w:t>
      </w:r>
    </w:p>
    <w:p w14:paraId="1D133B40">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数据库审计服务</w:t>
      </w:r>
    </w:p>
    <w:p w14:paraId="5DE63F5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按照采购人的具体需求，提供数据库审计服务。</w:t>
      </w:r>
    </w:p>
    <w:p w14:paraId="0AF8E526">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主机防护服务</w:t>
      </w:r>
    </w:p>
    <w:p w14:paraId="1FE5DCA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按照采购人的具体需求，提供主机防护服务。</w:t>
      </w:r>
    </w:p>
    <w:p w14:paraId="33BF4F50">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主机杀毒服务</w:t>
      </w:r>
    </w:p>
    <w:p w14:paraId="3EAC47D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按照采购人的具体需求，提供主机杀毒服务，对云主机进行定期的病毒查杀，杀毒软件集中控制，对网络性能无影响。</w:t>
      </w:r>
    </w:p>
    <w:p w14:paraId="560EDF2B">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密码服务</w:t>
      </w:r>
    </w:p>
    <w:p w14:paraId="501CB27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按照采购人的具体需求，提供密码服务，包括：政务云SSL安全服务、政务云签名验签服务和政务云数字信封服务。</w:t>
      </w:r>
    </w:p>
    <w:p w14:paraId="603C246D">
      <w:pPr>
        <w:numPr>
          <w:ilvl w:val="0"/>
          <w:numId w:val="2"/>
        </w:numPr>
        <w:spacing w:line="560" w:lineRule="exact"/>
        <w:ind w:firstLine="55"/>
        <w:rPr>
          <w:rFonts w:hint="eastAsia" w:ascii="宋体" w:hAnsi="宋体" w:eastAsia="宋体" w:cs="宋体"/>
          <w:b/>
          <w:sz w:val="28"/>
          <w:szCs w:val="28"/>
          <w:lang w:bidi="ar"/>
        </w:rPr>
      </w:pPr>
      <w:r>
        <w:rPr>
          <w:rFonts w:hint="eastAsia" w:ascii="宋体" w:hAnsi="宋体" w:eastAsia="宋体" w:cs="宋体"/>
          <w:b/>
          <w:sz w:val="28"/>
          <w:szCs w:val="28"/>
          <w:lang w:bidi="ar"/>
        </w:rPr>
        <w:t>公有云服务</w:t>
      </w:r>
    </w:p>
    <w:p w14:paraId="33B69EF7">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按照采购人的具体需求，提供公有云服务，包括：视频云存储、转码、CDN内容分发、图片处理、视频播放流量等功能。</w:t>
      </w:r>
    </w:p>
    <w:p w14:paraId="2F065BA2">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2.配套服务要求</w:t>
      </w:r>
    </w:p>
    <w:p w14:paraId="3858F4E1">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2.1服务规范</w:t>
      </w:r>
    </w:p>
    <w:p w14:paraId="4CBE532D">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投标人须严格按照采购人制定的管理办法、流程及其他汇报制度、应急制度、文档管理、资产管理、基线管理、人员管理、培训与考试、知识库管理、安全管理等相关制度，开展标准化运维工作。</w:t>
      </w:r>
    </w:p>
    <w:p w14:paraId="3875BD4C">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2.2服务方式</w:t>
      </w:r>
    </w:p>
    <w:p w14:paraId="2698E762">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投标人需利用监控系统或人工对机房环境、硬件设备及应用系统的运行情况进行7*24小时的不间断巡检监控，及时发现安全隐患，通知相关人员及时处理，并形成监控报告。</w:t>
      </w:r>
    </w:p>
    <w:p w14:paraId="2520EC8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负责设立技术支持热线，并安排专人值守，为运维工作提供7*24小时热线支持服务。投标人针对采购人要求的云平台运维服务相关内容，需指定专业技术能力较强的工程师，根据采购人要求配合开展相关维护服务。</w:t>
      </w:r>
    </w:p>
    <w:p w14:paraId="032B0CB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2.3安全及保密要求</w:t>
      </w:r>
    </w:p>
    <w:p w14:paraId="5C52811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投标人须严格遵守采购人的相关信息安全规定，不得利用系统维护服务时的便利对采购人数据及其他信息擅自修改或透漏给第三方。</w:t>
      </w:r>
    </w:p>
    <w:p w14:paraId="49F21382">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2.4响应的及时性</w:t>
      </w:r>
    </w:p>
    <w:p w14:paraId="26AD7701">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应当提供高效的系统维护服务，有效防范系统风险，系统负责人7*24小时电话畅通，能够在系统发生除宕机外的其他故障问题时，协调人力资源在1小时内到达运维现场提供服务。系统发生宕机问题时，投标人应在30分钟内响应，在4个小时之内使系统恢复正常，故障处理完毕后提供相关系统宕机报告。</w:t>
      </w:r>
    </w:p>
    <w:p w14:paraId="08EB2DDD">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2.5重点保障要求</w:t>
      </w:r>
    </w:p>
    <w:p w14:paraId="6C3E6A9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为保障业务高峰期内系统平稳运行，缓解系统高峰期内因业务发生量增大而带来系统压力风险，要求投标人根据业务周期性特点，加大运维保障力度，保证在业务高峰期内系统平稳运行。</w:t>
      </w:r>
    </w:p>
    <w:p w14:paraId="24012E6C">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2.6服务保障要求</w:t>
      </w:r>
    </w:p>
    <w:p w14:paraId="3D7E8668">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需要制定合理可行的服务保障方案，通过制度、辅助措施等手段，确保各项服务能够保质保量完成。方案中要求明确服务保障时间、保障组织与职责，针对云平台的网络、主机及应用系统出现问题时有完善的故障处置流程和具体措施。</w:t>
      </w:r>
    </w:p>
    <w:p w14:paraId="48DD32E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3.安全及扩展要求</w:t>
      </w:r>
    </w:p>
    <w:p w14:paraId="33490D69">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3.1安全要求</w:t>
      </w:r>
    </w:p>
    <w:p w14:paraId="1153F2EB">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应保证各业务应用系统的支撑环境，包括但不限于服务器、网络、存储以及相关物理环境，应能满足安全三级等保要求，并积极配合采购人根据各业务系统具体等保需求，开展相应等保评估、检查、整改等工作。投标人管辖范围内的硬件、软件及支撑环境资源，应达到业务系统的最高安全等级要求。</w:t>
      </w:r>
    </w:p>
    <w:p w14:paraId="4B6A94F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3.2扩展要求</w:t>
      </w:r>
    </w:p>
    <w:p w14:paraId="66EA0ADF">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投标人应按照各系统的特点灵活调整计算、存储和带宽等各类资源供给，并能够根据业务数据的变化及时调整存储空间，确保系统高峰时段或特殊时期的访问需求。</w:t>
      </w:r>
    </w:p>
    <w:p w14:paraId="53F574F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4.应用系统迁移及业务连续性要求</w:t>
      </w:r>
    </w:p>
    <w:p w14:paraId="1C53138A">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4.1迁移经验要求</w:t>
      </w:r>
    </w:p>
    <w:p w14:paraId="454AD95F">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投标人必须有成功的系统迁移经验，可根据业务特点制定应用系统迁移部署方案，配合用户完成系统迁移部署、运行和安全保障，迁移过程中保证应用系统业务延续不中断。</w:t>
      </w:r>
    </w:p>
    <w:p w14:paraId="7558DFCE">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4.2迁移进度要求</w:t>
      </w:r>
    </w:p>
    <w:p w14:paraId="767D87CD">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在合同签订后10个工作日内，根据采购人的需求完成政务云测试、试运行、系统迁移上线工作，并且不能改变和影响采购人原有系统的功能、技术状态、数据完整性。（投标人须出具业务连续性服务承诺函并加盖投标人公章，承诺函须明确迁移时间、投入人员）</w:t>
      </w:r>
    </w:p>
    <w:p w14:paraId="55DAF70B">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4.3迁移费用要求</w:t>
      </w:r>
    </w:p>
    <w:p w14:paraId="4D73E70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针对已经在政务云平台上的试运行应用系统的迁移需求，为确保迁移过程中数据不丢失、系统业务不中断，本次中标人负责与原政务云平台的服务商进行主动对接，系统迁移所需各项费用（包括但不限于中标人迁移测试阶段的云资源费用，系统开发商对业务系统的部署、调试费用，原服务商配合迁出系统的服务费用等），由本次中标人负责解决并包含在本次投标报价中。</w:t>
      </w:r>
    </w:p>
    <w:p w14:paraId="778D18C8">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5.人员要求</w:t>
      </w:r>
    </w:p>
    <w:p w14:paraId="61FAC413">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 xml:space="preserve">5.1投标人须提供不少于10人的服务团队，提供团队组织架构、成员名单、成员职责。       </w:t>
      </w:r>
    </w:p>
    <w:p w14:paraId="4627AB3C">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5.2项目经理具有五年及以上项目管理工作经验，提供具有相关项目经历的个人简历，并加盖投标人公章。具有信息系统项目管理师证书，提供证书扫描件。</w:t>
      </w:r>
    </w:p>
    <w:p w14:paraId="2710E7CD">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5.3安全运维工程师不少于2名，至少一人具有CISP证书、五年及以上安全运维相关从业经验，提供具有相关项目经历的个人简历及证书扫描件并加盖投标人公章。</w:t>
      </w:r>
    </w:p>
    <w:p w14:paraId="1F554FD0">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5.4数据库运维工程师不少于1名，至少一人具有数据库系统工程师证书、五年及以上数据库运维相关从业经验，提供具有相关项目经历的个人简历及证书扫描件并加盖投标人公章。</w:t>
      </w:r>
    </w:p>
    <w:p w14:paraId="5805E914">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5.5网络运维工程师不少于3名，至少一人具有CISP证书、五年及以上网络运维相关从业经验，提供具有相关项目经历的个人简历及证书扫描件并加盖投标人公章。</w:t>
      </w:r>
    </w:p>
    <w:p w14:paraId="2E59C3D4">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5.6平台运维工程师不少于3名，至少一人具有CISAW证书、五年及以上云平台运维相关从业经验，提供具有相关项目经历的个人简历及证书扫描件并加盖投标人公章。</w:t>
      </w:r>
    </w:p>
    <w:bookmarkEnd w:id="8"/>
    <w:p w14:paraId="0C6AD8C7">
      <w:pPr>
        <w:adjustRightInd w:val="0"/>
        <w:spacing w:line="360" w:lineRule="auto"/>
        <w:jc w:val="left"/>
        <w:textAlignment w:val="baseline"/>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四、服务确认标准</w:t>
      </w:r>
    </w:p>
    <w:p w14:paraId="7A96C4A5">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1、中标人为采购人提供的服务质量应符合国家或相关行业，以及《北京市市级政务云管理办法（试行）》的标准。</w:t>
      </w:r>
    </w:p>
    <w:p w14:paraId="14A760A8">
      <w:pPr>
        <w:adjustRightInd w:val="0"/>
        <w:spacing w:line="360" w:lineRule="auto"/>
        <w:ind w:firstLine="560" w:firstLineChars="200"/>
        <w:jc w:val="left"/>
        <w:textAlignment w:val="baseline"/>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2、中标人在按合同要求提供各项服务并形成服务报告文档后，在系统运行正常的前提下，由采购人进行服务确认。中标人需提供最终签署的合同中约定的相关文档并配合采购人服务确认工作。</w:t>
      </w:r>
    </w:p>
    <w:p w14:paraId="63CE0CC1">
      <w:pPr>
        <w:pStyle w:val="2"/>
        <w:rPr>
          <w:rFonts w:hint="eastAsia" w:ascii="宋体" w:hAnsi="宋体" w:eastAsia="宋体" w:cs="宋体"/>
          <w:kern w:val="0"/>
          <w:sz w:val="28"/>
          <w:szCs w:val="28"/>
          <w:lang w:val="en-US" w:eastAsia="zh-CN"/>
        </w:rPr>
      </w:pPr>
    </w:p>
    <w:p w14:paraId="2D9698EB">
      <w:pPr>
        <w:adjustRightInd w:val="0"/>
        <w:spacing w:line="360" w:lineRule="auto"/>
        <w:ind w:firstLine="560" w:firstLineChars="200"/>
        <w:jc w:val="left"/>
        <w:textAlignment w:val="baseline"/>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725B4353">
      <w:pPr>
        <w:pStyle w:val="2"/>
        <w:jc w:val="both"/>
        <w:rPr>
          <w:rFonts w:hint="eastAsia" w:ascii="宋体" w:hAnsi="宋体" w:eastAsia="宋体" w:cs="宋体"/>
          <w:kern w:val="0"/>
          <w:sz w:val="28"/>
          <w:szCs w:val="28"/>
          <w:lang w:val="en-US" w:eastAsia="zh-CN"/>
        </w:rPr>
      </w:pPr>
    </w:p>
    <w:p w14:paraId="2039FC1A">
      <w:pPr>
        <w:rPr>
          <w:rFonts w:hint="eastAsia" w:ascii="宋体" w:hAnsi="宋体" w:eastAsia="宋体" w:cs="宋体"/>
          <w:kern w:val="0"/>
          <w:sz w:val="28"/>
          <w:szCs w:val="28"/>
          <w:lang w:val="en-US" w:eastAsia="zh-CN"/>
        </w:rPr>
      </w:pPr>
    </w:p>
    <w:p w14:paraId="275D2A33">
      <w:pPr>
        <w:rPr>
          <w:rFonts w:hint="eastAsia" w:ascii="宋体" w:hAnsi="宋体" w:eastAsia="宋体" w:cs="宋体"/>
          <w:kern w:val="0"/>
          <w:sz w:val="28"/>
          <w:szCs w:val="28"/>
          <w:lang w:val="en-US" w:eastAsia="zh-CN"/>
        </w:rPr>
      </w:pPr>
    </w:p>
    <w:p w14:paraId="3F06E72E">
      <w:pPr>
        <w:rPr>
          <w:rFonts w:hint="eastAsia" w:ascii="宋体" w:hAnsi="宋体" w:eastAsia="宋体" w:cs="宋体"/>
          <w:kern w:val="0"/>
          <w:sz w:val="28"/>
          <w:szCs w:val="28"/>
          <w:lang w:val="en-US" w:eastAsia="zh-CN"/>
        </w:rPr>
      </w:pPr>
    </w:p>
    <w:p w14:paraId="53A7A750">
      <w:pPr>
        <w:rPr>
          <w:rFonts w:hint="eastAsia" w:ascii="宋体" w:hAnsi="宋体" w:eastAsia="宋体" w:cs="宋体"/>
          <w:kern w:val="0"/>
          <w:sz w:val="28"/>
          <w:szCs w:val="28"/>
          <w:lang w:val="en-US" w:eastAsia="zh-CN"/>
        </w:rPr>
      </w:pPr>
    </w:p>
    <w:p w14:paraId="58806D43">
      <w:pPr>
        <w:rPr>
          <w:rFonts w:hint="eastAsia" w:ascii="宋体" w:hAnsi="宋体" w:eastAsia="宋体" w:cs="宋体"/>
          <w:kern w:val="0"/>
          <w:sz w:val="28"/>
          <w:szCs w:val="28"/>
          <w:lang w:val="en-US" w:eastAsia="zh-CN"/>
        </w:rPr>
      </w:pPr>
    </w:p>
    <w:p w14:paraId="6DE182B7">
      <w:pPr>
        <w:rPr>
          <w:rFonts w:hint="eastAsia" w:ascii="宋体" w:hAnsi="宋体" w:eastAsia="宋体" w:cs="宋体"/>
          <w:kern w:val="0"/>
          <w:sz w:val="28"/>
          <w:szCs w:val="28"/>
          <w:lang w:val="en-US" w:eastAsia="zh-CN"/>
        </w:rPr>
      </w:pPr>
    </w:p>
    <w:p w14:paraId="6F097893">
      <w:pPr>
        <w:rPr>
          <w:rFonts w:hint="eastAsia" w:ascii="宋体" w:hAnsi="宋体" w:eastAsia="宋体" w:cs="宋体"/>
          <w:kern w:val="0"/>
          <w:sz w:val="28"/>
          <w:szCs w:val="28"/>
          <w:lang w:val="en-US" w:eastAsia="zh-CN"/>
        </w:rPr>
      </w:pPr>
    </w:p>
    <w:p w14:paraId="62D98DBC">
      <w:pPr>
        <w:rPr>
          <w:rFonts w:hint="eastAsia" w:ascii="宋体" w:hAnsi="宋体" w:eastAsia="宋体" w:cs="宋体"/>
          <w:kern w:val="0"/>
          <w:sz w:val="28"/>
          <w:szCs w:val="28"/>
          <w:lang w:val="en-US" w:eastAsia="zh-CN"/>
        </w:rPr>
      </w:pPr>
    </w:p>
    <w:p w14:paraId="71B01895">
      <w:pPr>
        <w:rPr>
          <w:rFonts w:hint="eastAsia" w:ascii="宋体" w:hAnsi="宋体" w:eastAsia="宋体" w:cs="宋体"/>
          <w:kern w:val="0"/>
          <w:sz w:val="28"/>
          <w:szCs w:val="28"/>
          <w:lang w:val="en-US" w:eastAsia="zh-CN"/>
        </w:rPr>
      </w:pPr>
    </w:p>
    <w:p w14:paraId="53B0874E">
      <w:pPr>
        <w:rPr>
          <w:rFonts w:hint="eastAsia" w:ascii="宋体" w:hAnsi="宋体" w:eastAsia="宋体" w:cs="宋体"/>
          <w:kern w:val="0"/>
          <w:sz w:val="28"/>
          <w:szCs w:val="28"/>
          <w:lang w:val="en-US" w:eastAsia="zh-CN"/>
        </w:rPr>
      </w:pPr>
    </w:p>
    <w:p w14:paraId="6217F290">
      <w:pPr>
        <w:rPr>
          <w:rFonts w:hint="eastAsia" w:ascii="宋体" w:hAnsi="宋体" w:eastAsia="宋体" w:cs="宋体"/>
          <w:kern w:val="0"/>
          <w:sz w:val="28"/>
          <w:szCs w:val="28"/>
          <w:lang w:val="en-US" w:eastAsia="zh-CN"/>
        </w:rPr>
      </w:pPr>
    </w:p>
    <w:p w14:paraId="038C53E5">
      <w:pPr>
        <w:rPr>
          <w:rFonts w:hint="eastAsia" w:ascii="宋体" w:hAnsi="宋体" w:eastAsia="宋体" w:cs="宋体"/>
          <w:kern w:val="0"/>
          <w:sz w:val="28"/>
          <w:szCs w:val="28"/>
          <w:lang w:val="en-US" w:eastAsia="zh-CN"/>
        </w:rPr>
      </w:pPr>
    </w:p>
    <w:p w14:paraId="449E6A3C">
      <w:pPr>
        <w:rPr>
          <w:rFonts w:hint="eastAsia" w:ascii="宋体" w:hAnsi="宋体" w:eastAsia="宋体" w:cs="宋体"/>
          <w:kern w:val="0"/>
          <w:sz w:val="28"/>
          <w:szCs w:val="28"/>
          <w:lang w:val="en-US" w:eastAsia="zh-CN"/>
        </w:rPr>
      </w:pPr>
    </w:p>
    <w:p w14:paraId="269D64F1">
      <w:pPr>
        <w:rPr>
          <w:rFonts w:hint="eastAsia" w:ascii="宋体" w:hAnsi="宋体" w:eastAsia="宋体" w:cs="宋体"/>
          <w:kern w:val="0"/>
          <w:sz w:val="28"/>
          <w:szCs w:val="28"/>
          <w:lang w:val="en-US" w:eastAsia="zh-CN"/>
        </w:rPr>
      </w:pPr>
    </w:p>
    <w:p w14:paraId="540525A0">
      <w:pPr>
        <w:rPr>
          <w:rFonts w:hint="eastAsia" w:ascii="宋体" w:hAnsi="宋体" w:eastAsia="宋体" w:cs="宋体"/>
          <w:kern w:val="0"/>
          <w:sz w:val="28"/>
          <w:szCs w:val="28"/>
          <w:lang w:val="en-US" w:eastAsia="zh-CN"/>
        </w:rPr>
      </w:pPr>
    </w:p>
    <w:p w14:paraId="51F3670A">
      <w:pPr>
        <w:rPr>
          <w:rFonts w:hint="eastAsia" w:ascii="宋体" w:hAnsi="宋体" w:eastAsia="宋体" w:cs="宋体"/>
          <w:kern w:val="0"/>
          <w:sz w:val="28"/>
          <w:szCs w:val="28"/>
          <w:lang w:val="en-US" w:eastAsia="zh-CN"/>
        </w:rPr>
      </w:pPr>
    </w:p>
    <w:p w14:paraId="187C9A6D">
      <w:pPr>
        <w:rPr>
          <w:rFonts w:hint="eastAsia" w:ascii="宋体" w:hAnsi="宋体" w:eastAsia="宋体" w:cs="宋体"/>
          <w:kern w:val="0"/>
          <w:sz w:val="28"/>
          <w:szCs w:val="28"/>
          <w:lang w:val="en-US" w:eastAsia="zh-CN"/>
        </w:rPr>
      </w:pPr>
    </w:p>
    <w:p w14:paraId="0873D4CE">
      <w:pPr>
        <w:rPr>
          <w:rFonts w:hint="eastAsia" w:ascii="宋体" w:hAnsi="宋体" w:eastAsia="宋体" w:cs="宋体"/>
          <w:kern w:val="0"/>
          <w:sz w:val="28"/>
          <w:szCs w:val="28"/>
          <w:lang w:val="en-US" w:eastAsia="zh-CN"/>
        </w:rPr>
      </w:pPr>
    </w:p>
    <w:p w14:paraId="4DC16B25">
      <w:pPr>
        <w:rPr>
          <w:rFonts w:hint="eastAsia" w:ascii="宋体" w:hAnsi="宋体" w:eastAsia="宋体" w:cs="宋体"/>
          <w:kern w:val="0"/>
          <w:sz w:val="28"/>
          <w:szCs w:val="28"/>
          <w:lang w:val="en-US" w:eastAsia="zh-CN"/>
        </w:rPr>
      </w:pPr>
    </w:p>
    <w:p w14:paraId="0609F2AA">
      <w:pPr>
        <w:rPr>
          <w:rFonts w:hint="eastAsia" w:ascii="宋体" w:hAnsi="宋体" w:eastAsia="宋体" w:cs="宋体"/>
          <w:kern w:val="0"/>
          <w:sz w:val="28"/>
          <w:szCs w:val="28"/>
          <w:lang w:val="en-US" w:eastAsia="zh-CN"/>
        </w:rPr>
      </w:pPr>
    </w:p>
    <w:p w14:paraId="752557F8">
      <w:pPr>
        <w:rPr>
          <w:rFonts w:hint="eastAsia" w:ascii="宋体" w:hAnsi="宋体" w:eastAsia="宋体" w:cs="宋体"/>
          <w:kern w:val="0"/>
          <w:sz w:val="28"/>
          <w:szCs w:val="28"/>
          <w:lang w:val="en-US" w:eastAsia="zh-CN"/>
        </w:rPr>
      </w:pPr>
    </w:p>
    <w:p w14:paraId="06AF3209">
      <w:pPr>
        <w:rPr>
          <w:rFonts w:hint="eastAsia" w:ascii="宋体" w:hAnsi="宋体" w:eastAsia="宋体" w:cs="宋体"/>
          <w:kern w:val="0"/>
          <w:sz w:val="28"/>
          <w:szCs w:val="28"/>
          <w:lang w:val="en-US" w:eastAsia="zh-CN"/>
        </w:rPr>
      </w:pPr>
    </w:p>
    <w:p w14:paraId="202877BE">
      <w:pPr>
        <w:rPr>
          <w:rFonts w:hint="eastAsia" w:ascii="宋体" w:hAnsi="宋体" w:eastAsia="宋体" w:cs="宋体"/>
          <w:kern w:val="0"/>
          <w:sz w:val="28"/>
          <w:szCs w:val="28"/>
          <w:lang w:val="en-US" w:eastAsia="zh-CN"/>
        </w:rPr>
      </w:pPr>
    </w:p>
    <w:p w14:paraId="44497AEF">
      <w:pPr>
        <w:rPr>
          <w:rFonts w:hint="eastAsia" w:ascii="宋体" w:hAnsi="宋体" w:eastAsia="宋体" w:cs="宋体"/>
          <w:kern w:val="0"/>
          <w:sz w:val="28"/>
          <w:szCs w:val="28"/>
          <w:lang w:val="en-US" w:eastAsia="zh-CN"/>
        </w:rPr>
      </w:pPr>
    </w:p>
    <w:p w14:paraId="0C51FE4E">
      <w:pPr>
        <w:rPr>
          <w:rFonts w:hint="eastAsia" w:ascii="宋体" w:hAnsi="宋体" w:eastAsia="宋体" w:cs="宋体"/>
          <w:kern w:val="0"/>
          <w:sz w:val="28"/>
          <w:szCs w:val="28"/>
          <w:lang w:val="en-US" w:eastAsia="zh-CN"/>
        </w:rPr>
      </w:pPr>
    </w:p>
    <w:p w14:paraId="0D58EB82">
      <w:pPr>
        <w:rPr>
          <w:rFonts w:hint="eastAsia" w:ascii="宋体" w:hAnsi="宋体" w:eastAsia="宋体" w:cs="宋体"/>
          <w:kern w:val="0"/>
          <w:sz w:val="28"/>
          <w:szCs w:val="28"/>
          <w:lang w:val="en-US" w:eastAsia="zh-CN"/>
        </w:rPr>
      </w:pPr>
    </w:p>
    <w:p w14:paraId="5F65B6AC">
      <w:pPr>
        <w:rPr>
          <w:rFonts w:hint="eastAsia" w:ascii="宋体" w:hAnsi="宋体" w:eastAsia="宋体" w:cs="宋体"/>
          <w:kern w:val="0"/>
          <w:sz w:val="28"/>
          <w:szCs w:val="28"/>
          <w:lang w:val="en-US" w:eastAsia="zh-CN"/>
        </w:rPr>
      </w:pPr>
    </w:p>
    <w:p w14:paraId="4B4AFED6">
      <w:pPr>
        <w:rPr>
          <w:rFonts w:hint="eastAsia" w:ascii="宋体" w:hAnsi="宋体" w:eastAsia="宋体" w:cs="宋体"/>
          <w:kern w:val="0"/>
          <w:sz w:val="28"/>
          <w:szCs w:val="28"/>
          <w:lang w:val="en-US" w:eastAsia="zh-CN"/>
        </w:rPr>
      </w:pPr>
    </w:p>
    <w:p w14:paraId="59642E57">
      <w:pPr>
        <w:rPr>
          <w:rFonts w:hint="eastAsia" w:ascii="宋体" w:hAnsi="宋体" w:eastAsia="宋体" w:cs="宋体"/>
          <w:kern w:val="0"/>
          <w:sz w:val="28"/>
          <w:szCs w:val="28"/>
          <w:lang w:val="en-US" w:eastAsia="zh-CN"/>
        </w:rPr>
      </w:pPr>
    </w:p>
    <w:p w14:paraId="3860FA56">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4D73BB98">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2783BEB3">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5034C1D8">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17EB313B">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70E3F6B6">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73D67E65">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p>
    <w:p w14:paraId="0514E29B">
      <w:pPr>
        <w:adjustRightInd w:val="0"/>
        <w:spacing w:line="360" w:lineRule="auto"/>
        <w:jc w:val="left"/>
        <w:textAlignment w:val="baseline"/>
        <w:rPr>
          <w:rFonts w:hint="eastAsia" w:ascii="仿宋_GB2312" w:hAnsi="仿宋_GB2312" w:eastAsia="仿宋_GB2312" w:cs="仿宋_GB2312"/>
          <w:b/>
          <w:kern w:val="0"/>
          <w:sz w:val="32"/>
          <w:szCs w:val="32"/>
          <w:lang w:val="en-US" w:eastAsia="zh-CN"/>
        </w:rPr>
      </w:pPr>
      <w:r>
        <w:rPr>
          <w:rFonts w:hint="eastAsia" w:ascii="仿宋_GB2312" w:hAnsi="仿宋_GB2312" w:eastAsia="仿宋_GB2312" w:cs="仿宋_GB2312"/>
          <w:b/>
          <w:kern w:val="0"/>
          <w:sz w:val="32"/>
          <w:szCs w:val="32"/>
          <w:lang w:val="en-US" w:eastAsia="zh-CN"/>
        </w:rPr>
        <w:t>五、其他附件</w:t>
      </w:r>
    </w:p>
    <w:p w14:paraId="42AD4178">
      <w:pPr>
        <w:pStyle w:val="2"/>
        <w:rPr>
          <w:rFonts w:hint="eastAsia"/>
          <w:lang w:val="en-US" w:eastAsia="zh-CN"/>
        </w:rPr>
      </w:pPr>
    </w:p>
    <w:p w14:paraId="57762E0E">
      <w:pPr>
        <w:numPr>
          <w:ilvl w:val="0"/>
          <w:numId w:val="3"/>
        </w:numPr>
        <w:tabs>
          <w:tab w:val="left" w:pos="360"/>
        </w:tabs>
        <w:snapToGrid w:val="0"/>
        <w:spacing w:line="360" w:lineRule="auto"/>
        <w:outlineLvl w:val="1"/>
        <w:rPr>
          <w:color w:val="000000"/>
          <w:sz w:val="24"/>
          <w:szCs w:val="20"/>
        </w:rPr>
      </w:pPr>
      <w:r>
        <w:rPr>
          <w:rFonts w:hint="eastAsia"/>
          <w:color w:val="000000"/>
          <w:sz w:val="24"/>
          <w:szCs w:val="20"/>
        </w:rPr>
        <w:t>北京市公安局交通管理局车辆管理所供应商不良行为记录告知书（实质性格式）</w:t>
      </w:r>
    </w:p>
    <w:p w14:paraId="4859EBB4">
      <w:pPr>
        <w:snapToGrid w:val="0"/>
        <w:spacing w:line="560" w:lineRule="exact"/>
        <w:rPr>
          <w:rFonts w:ascii="仿宋" w:hAnsi="仿宋" w:eastAsia="仿宋"/>
          <w:kern w:val="0"/>
          <w:sz w:val="24"/>
        </w:rPr>
      </w:pPr>
    </w:p>
    <w:p w14:paraId="6F7F7849">
      <w:pPr>
        <w:snapToGrid w:val="0"/>
        <w:spacing w:line="560" w:lineRule="exact"/>
        <w:rPr>
          <w:rFonts w:ascii="仿宋_GB2312" w:hAnsi="仿宋_GB2312" w:eastAsia="仿宋_GB2312" w:cs="仿宋_GB2312"/>
          <w:kern w:val="0"/>
          <w:szCs w:val="21"/>
          <w:u w:val="single"/>
        </w:rPr>
      </w:pPr>
      <w:r>
        <w:rPr>
          <w:rFonts w:hint="eastAsia" w:ascii="仿宋_GB2312" w:hAnsi="仿宋_GB2312" w:eastAsia="仿宋_GB2312" w:cs="仿宋_GB2312"/>
          <w:kern w:val="0"/>
          <w:szCs w:val="21"/>
        </w:rPr>
        <w:t>项目名称：</w:t>
      </w:r>
      <w:r>
        <w:rPr>
          <w:rFonts w:hint="eastAsia" w:ascii="仿宋_GB2312" w:hAnsi="仿宋_GB2312" w:eastAsia="仿宋_GB2312" w:cs="仿宋_GB2312"/>
          <w:kern w:val="0"/>
          <w:szCs w:val="21"/>
          <w:u w:val="single"/>
        </w:rPr>
        <w:t xml:space="preserve">                                   </w:t>
      </w:r>
    </w:p>
    <w:p w14:paraId="0646AB8A">
      <w:pPr>
        <w:snapToGrid w:val="0"/>
        <w:spacing w:line="560" w:lineRule="exact"/>
        <w:rPr>
          <w:rFonts w:ascii="仿宋_GB2312" w:hAnsi="仿宋_GB2312" w:eastAsia="仿宋_GB2312" w:cs="仿宋_GB2312"/>
          <w:szCs w:val="21"/>
          <w:u w:val="single"/>
        </w:rPr>
      </w:pPr>
      <w:r>
        <w:rPr>
          <w:rFonts w:hint="eastAsia" w:ascii="仿宋_GB2312" w:hAnsi="仿宋_GB2312" w:eastAsia="仿宋_GB2312" w:cs="仿宋_GB2312"/>
          <w:kern w:val="0"/>
          <w:szCs w:val="21"/>
        </w:rPr>
        <w:t>企业名称：</w:t>
      </w:r>
      <w:r>
        <w:rPr>
          <w:rFonts w:hint="eastAsia" w:ascii="仿宋_GB2312" w:hAnsi="仿宋_GB2312" w:eastAsia="仿宋_GB2312" w:cs="仿宋_GB2312"/>
          <w:kern w:val="0"/>
          <w:szCs w:val="21"/>
          <w:u w:val="single"/>
        </w:rPr>
        <w:t xml:space="preserve">                                 </w:t>
      </w:r>
    </w:p>
    <w:p w14:paraId="2E5DF01B">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为加强我局项目建设，规范供应商与我局合作行为，现就我局供应商不良行为记录管理相关内容进行告知。</w:t>
      </w:r>
    </w:p>
    <w:p w14:paraId="55D09761">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与我局合作的供应商有下列情形之一的，其具体行为将被列入我局供应商不良行为记录：</w:t>
      </w:r>
    </w:p>
    <w:p w14:paraId="7D676920">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（一）依据《中华人民共和国政府采购法》第七十七条有以下情形之一的：</w:t>
      </w:r>
    </w:p>
    <w:p w14:paraId="0EEA4F1A">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1.提供虚假材料谋取中标、成交的；</w:t>
      </w:r>
    </w:p>
    <w:p w14:paraId="3B4AC36D">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2.采取不正当手段诋毁、排挤其他供应商的；</w:t>
      </w:r>
    </w:p>
    <w:p w14:paraId="41CFB9B6">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3.与采购人、其他供应商或者采购代理机构恶意串通的；</w:t>
      </w:r>
    </w:p>
    <w:p w14:paraId="25DD466A">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4.向采购人、采购代理机构行贿或者提供其他不正当利益的；</w:t>
      </w:r>
    </w:p>
    <w:p w14:paraId="5A6635F4">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5.在招标采购过程中与采购人进行协商谈判的；</w:t>
      </w:r>
    </w:p>
    <w:p w14:paraId="06544B01">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6.拒绝有关部门监督检查或者提供虚假情况的。</w:t>
      </w:r>
    </w:p>
    <w:p w14:paraId="1256DEB7">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（二）依据《中华人民共和国政府采购法实施条例》第七十二条有以下情形之一的：</w:t>
      </w:r>
    </w:p>
    <w:p w14:paraId="787DCCD3">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1.向评标委员会、竞争性谈判小组或者询价小组成员行贿或者提供其他不正当利益；</w:t>
      </w:r>
    </w:p>
    <w:p w14:paraId="5C7E1775">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2.中标或者成交后无正当理由拒不与采购人签订政府采购合同；</w:t>
      </w:r>
    </w:p>
    <w:p w14:paraId="2BC6916D">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3.未按照采购文件确定的事项签订政府采购合同；</w:t>
      </w:r>
    </w:p>
    <w:p w14:paraId="36CAFCCE">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4.将政府采购合同转包；</w:t>
      </w:r>
    </w:p>
    <w:p w14:paraId="116915A3">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5.提供假冒伪劣产品；</w:t>
      </w:r>
    </w:p>
    <w:p w14:paraId="0DECFEAF">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6.擅自变更、中止或者终止政府采购合同。</w:t>
      </w:r>
    </w:p>
    <w:p w14:paraId="193EE3EA">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（三）依据《中华人民共和国政府采购法实施条例》第七十三条，捏造事实、提供虚假材料或者以非法手段取得证明材料进行投诉的。</w:t>
      </w:r>
    </w:p>
    <w:p w14:paraId="122BE4B5">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（四）依据《中华人民共和国政府采购法实施条例》第七十四条有以下情形之一的：</w:t>
      </w:r>
    </w:p>
    <w:p w14:paraId="2FDC7C1A">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1.供应商直接或者间接从采购人或者采购代理机构处获得其他供应商的相关情况并修改其投标文件或者响应文件；</w:t>
      </w:r>
    </w:p>
    <w:p w14:paraId="6BB834E5">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2.供应商按照采购人或者采购代理机构的授意撤换、修改投标文件或者响应文件；</w:t>
      </w:r>
    </w:p>
    <w:p w14:paraId="1A3C5278">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3.供应商之间协商报价、技术方案等投标文件或者响应文件的实质性内容；</w:t>
      </w:r>
    </w:p>
    <w:p w14:paraId="1C6601C8">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4.属于同一集团、协会、商会等组织成员的供应商按照该组织要求协同参加政府采购活动；</w:t>
      </w:r>
    </w:p>
    <w:p w14:paraId="0DE19EF1">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5.供应商之间事先约定由某一特定供应商中标、成交；</w:t>
      </w:r>
    </w:p>
    <w:p w14:paraId="1063B151">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6.供应商之间商定部分供应商放弃参加政府采购活动或者放弃中标、成交；</w:t>
      </w:r>
    </w:p>
    <w:p w14:paraId="6EE2305A">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7.供应商与采购人或者采购代理机构之间、供应商相互之间，为谋求特定供应商中标、成交或者排斥其他供应商的其他串通行为。</w:t>
      </w:r>
    </w:p>
    <w:p w14:paraId="73099D07">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五）依据《公务员法》《中国共产党纪律处分条例》《关于规范公务员辞去公职后从业行为的意见》等法律、法规、规定，录用我局退休、辞职、辞退、开除不满三年的工作人员，且提供与其原工作直接相关业务的岗位的；</w:t>
      </w:r>
    </w:p>
    <w:p w14:paraId="4BD03ED2">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（六）在与我局合作过程中，发生失泄密问题、不履行或迟延履行合同义务或存在其他违约行为，且消极推诿、拒绝承担违约责任，被解除合作协议、终止合同履行、启动司法程序的，或造成我局利益损失的；</w:t>
      </w:r>
    </w:p>
    <w:p w14:paraId="02B063D2">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（七）有其他损害我局利益行为的，或造成不良影响的。</w:t>
      </w:r>
    </w:p>
    <w:p w14:paraId="6E3BA4C3">
      <w:pPr>
        <w:snapToGrid w:val="0"/>
        <w:spacing w:line="560" w:lineRule="exact"/>
        <w:ind w:firstLine="600"/>
        <w:rPr>
          <w:rFonts w:ascii="仿宋_GB2312" w:hAnsi="仿宋_GB2312" w:eastAsia="仿宋_GB2312" w:cs="仿宋_GB2312"/>
          <w:szCs w:val="21"/>
        </w:rPr>
      </w:pPr>
      <w:r>
        <w:rPr>
          <w:rFonts w:hint="eastAsia" w:ascii="仿宋_GB2312" w:hAnsi="仿宋_GB2312" w:eastAsia="仿宋_GB2312" w:cs="仿宋_GB2312"/>
          <w:szCs w:val="21"/>
        </w:rPr>
        <w:t>我单位已知悉上述内容，并自愿承担相关责任。</w:t>
      </w:r>
    </w:p>
    <w:p w14:paraId="120C6B95">
      <w:pPr>
        <w:spacing w:line="560" w:lineRule="exact"/>
        <w:ind w:firstLine="1890" w:firstLineChars="900"/>
        <w:rPr>
          <w:rFonts w:ascii="仿宋_GB2312" w:hAnsi="仿宋_GB2312" w:eastAsia="仿宋_GB2312" w:cs="仿宋_GB2312"/>
          <w:szCs w:val="21"/>
        </w:rPr>
      </w:pPr>
      <w:r>
        <w:rPr>
          <w:rFonts w:hint="eastAsia" w:ascii="仿宋_GB2312" w:hAnsi="仿宋_GB2312" w:eastAsia="仿宋_GB2312" w:cs="仿宋_GB2312"/>
          <w:szCs w:val="21"/>
        </w:rPr>
        <w:t>企业名称：（公章）</w:t>
      </w:r>
    </w:p>
    <w:p w14:paraId="4E45BB88">
      <w:pPr>
        <w:spacing w:line="560" w:lineRule="exact"/>
        <w:ind w:firstLine="1890" w:firstLineChars="900"/>
        <w:rPr>
          <w:rFonts w:ascii="仿宋_GB2312" w:hAnsi="仿宋_GB2312" w:eastAsia="仿宋_GB2312" w:cs="仿宋_GB2312"/>
          <w:szCs w:val="21"/>
        </w:rPr>
      </w:pPr>
      <w:r>
        <w:rPr>
          <w:rFonts w:hint="eastAsia" w:ascii="仿宋_GB2312" w:hAnsi="仿宋_GB2312" w:eastAsia="仿宋_GB2312" w:cs="仿宋_GB2312"/>
          <w:szCs w:val="21"/>
        </w:rPr>
        <w:t>法定代表人（单位负责人）：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（签字或签章）</w:t>
      </w:r>
    </w:p>
    <w:p w14:paraId="67E3F8CF">
      <w:pPr>
        <w:spacing w:line="560" w:lineRule="exact"/>
        <w:ind w:firstLine="5775" w:firstLineChars="2750"/>
        <w:rPr>
          <w:rFonts w:ascii="仿宋_GB2312" w:hAnsi="仿宋_GB2312" w:eastAsia="仿宋_GB2312" w:cs="仿宋_GB2312"/>
          <w:szCs w:val="21"/>
        </w:rPr>
      </w:pPr>
      <w:r>
        <w:rPr>
          <w:rFonts w:hint="eastAsia" w:ascii="仿宋_GB2312" w:hAnsi="仿宋_GB2312" w:eastAsia="仿宋_GB2312" w:cs="仿宋_GB2312"/>
          <w:szCs w:val="21"/>
        </w:rPr>
        <w:t>年     月     日</w:t>
      </w:r>
    </w:p>
    <w:p w14:paraId="6B716D76">
      <w:pPr>
        <w:snapToGrid w:val="0"/>
        <w:spacing w:line="360" w:lineRule="auto"/>
        <w:rPr>
          <w:rFonts w:ascii="仿宋_GB2312" w:hAnsi="仿宋" w:eastAsia="仿宋_GB2312" w:cs="仿宋"/>
          <w:b/>
          <w:kern w:val="0"/>
          <w:sz w:val="24"/>
        </w:rPr>
        <w:sectPr>
          <w:pgSz w:w="11907" w:h="16840"/>
          <w:pgMar w:top="1440" w:right="1800" w:bottom="1440" w:left="1800" w:header="851" w:footer="851" w:gutter="0"/>
          <w:cols w:space="720" w:num="1"/>
          <w:docGrid w:linePitch="462" w:charSpace="0"/>
        </w:sectPr>
      </w:pPr>
    </w:p>
    <w:p w14:paraId="12876FBF">
      <w:pPr>
        <w:numPr>
          <w:ilvl w:val="0"/>
          <w:numId w:val="3"/>
        </w:numPr>
        <w:tabs>
          <w:tab w:val="left" w:pos="360"/>
        </w:tabs>
        <w:snapToGrid w:val="0"/>
        <w:spacing w:line="360" w:lineRule="auto"/>
        <w:outlineLvl w:val="1"/>
        <w:rPr>
          <w:color w:val="000000"/>
          <w:sz w:val="24"/>
          <w:szCs w:val="20"/>
        </w:rPr>
      </w:pPr>
      <w:r>
        <w:rPr>
          <w:rFonts w:hint="eastAsia"/>
          <w:color w:val="000000"/>
          <w:sz w:val="24"/>
          <w:szCs w:val="20"/>
        </w:rPr>
        <w:t>关于不转包、不违法分包、不出借资质的承诺函（实质性格式）</w:t>
      </w:r>
    </w:p>
    <w:p w14:paraId="3ABD01C3">
      <w:pPr>
        <w:snapToGrid w:val="0"/>
        <w:spacing w:line="560" w:lineRule="exact"/>
        <w:rPr>
          <w:rFonts w:ascii="仿宋" w:hAnsi="仿宋" w:eastAsia="仿宋"/>
          <w:kern w:val="0"/>
          <w:sz w:val="24"/>
        </w:rPr>
      </w:pPr>
    </w:p>
    <w:p w14:paraId="7CCD7928">
      <w:pPr>
        <w:snapToGrid w:val="0"/>
        <w:spacing w:before="60" w:beforeLines="25" w:after="60" w:afterLines="25" w:line="400" w:lineRule="exact"/>
        <w:rPr>
          <w:rFonts w:ascii="仿宋" w:hAnsi="仿宋" w:eastAsia="仿宋"/>
          <w:sz w:val="24"/>
        </w:rPr>
      </w:pPr>
      <w:r>
        <w:rPr>
          <w:rFonts w:hint="eastAsia" w:ascii="仿宋" w:hAnsi="仿宋" w:eastAsia="仿宋"/>
          <w:sz w:val="24"/>
        </w:rPr>
        <w:t>致：</w:t>
      </w:r>
      <w:r>
        <w:rPr>
          <w:rFonts w:hint="eastAsia" w:ascii="仿宋" w:hAnsi="仿宋" w:eastAsia="仿宋"/>
          <w:sz w:val="24"/>
          <w:u w:val="single"/>
        </w:rPr>
        <w:t xml:space="preserve">            </w:t>
      </w:r>
      <w:r>
        <w:rPr>
          <w:rFonts w:hint="eastAsia" w:ascii="仿宋" w:hAnsi="仿宋" w:eastAsia="仿宋"/>
          <w:sz w:val="24"/>
        </w:rPr>
        <w:t>（甲方/采购人名称，下称“贵方”）</w:t>
      </w:r>
    </w:p>
    <w:p w14:paraId="0CEA3D52">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就我公司（下称“我方”）中选/被确定为贵方“</w:t>
      </w:r>
      <w:r>
        <w:rPr>
          <w:rFonts w:hint="eastAsia" w:ascii="仿宋" w:hAnsi="仿宋" w:eastAsia="仿宋"/>
          <w:sz w:val="24"/>
          <w:u w:val="single"/>
        </w:rPr>
        <w:t>（项目名称）</w:t>
      </w:r>
      <w:r>
        <w:rPr>
          <w:rFonts w:hint="eastAsia" w:ascii="仿宋" w:hAnsi="仿宋" w:eastAsia="仿宋"/>
          <w:sz w:val="24"/>
        </w:rPr>
        <w:t>”的成交供应商一事，我方确认，本项目项下全部工作内容及具体要求，均以贵我双方签署的</w:t>
      </w:r>
      <w:r>
        <w:rPr>
          <w:rFonts w:hint="eastAsia" w:ascii="仿宋" w:hAnsi="仿宋" w:eastAsia="仿宋"/>
          <w:sz w:val="24"/>
          <w:u w:val="single"/>
        </w:rPr>
        <w:t>《合同名称》</w:t>
      </w:r>
      <w:r>
        <w:rPr>
          <w:rFonts w:hint="eastAsia" w:ascii="仿宋" w:hAnsi="仿宋" w:eastAsia="仿宋"/>
          <w:sz w:val="24"/>
        </w:rPr>
        <w:t>约定为准。我方就合同项下全部工作的履约事项，郑重承诺如下：</w:t>
      </w:r>
    </w:p>
    <w:p w14:paraId="27502A64">
      <w:pPr>
        <w:snapToGrid w:val="0"/>
        <w:spacing w:before="60" w:beforeLines="25" w:after="60" w:afterLines="25" w:line="400" w:lineRule="exact"/>
        <w:ind w:firstLine="482" w:firstLineChars="200"/>
        <w:rPr>
          <w:rFonts w:ascii="仿宋" w:hAnsi="仿宋" w:eastAsia="仿宋"/>
          <w:b/>
          <w:bCs/>
          <w:sz w:val="24"/>
        </w:rPr>
      </w:pPr>
      <w:r>
        <w:rPr>
          <w:rFonts w:hint="eastAsia" w:ascii="仿宋" w:hAnsi="仿宋" w:eastAsia="仿宋"/>
          <w:b/>
          <w:bCs/>
          <w:sz w:val="24"/>
        </w:rPr>
        <w:t>一、独立履约与资质</w:t>
      </w:r>
    </w:p>
    <w:p w14:paraId="7EB5C8C2">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1、我方具备履行合同项下全部工作所需的资质、资格与能力，相关证照真实、合法、有效。</w:t>
      </w:r>
    </w:p>
    <w:p w14:paraId="48E7F1A0">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2、独立完成合同项下全部工作，不将自身资质、资格出借或转让给任何第三方用于本项目。</w:t>
      </w:r>
    </w:p>
    <w:p w14:paraId="15DD16FF">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3、不允许任何单位或个人以我方名义承揽合同项下工作，不将本合同项下工作交由第三方以挂靠方式实施。</w:t>
      </w:r>
    </w:p>
    <w:p w14:paraId="307905B1">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4、我方在本项目投标/响应过程中，均以自身名义独立参与，所提交的全部材料真实有效。我方从未、也绝不会允许其他单位或个人借用我方资质、以我方名义参与投标或响应，弄虚作假骗取中标/成交资格。</w:t>
      </w:r>
    </w:p>
    <w:p w14:paraId="131F158A">
      <w:pPr>
        <w:snapToGrid w:val="0"/>
        <w:spacing w:before="60" w:beforeLines="25" w:after="60" w:afterLines="25" w:line="400" w:lineRule="exact"/>
        <w:ind w:firstLine="482" w:firstLineChars="200"/>
        <w:rPr>
          <w:rFonts w:ascii="仿宋" w:hAnsi="仿宋" w:eastAsia="仿宋"/>
          <w:b/>
          <w:bCs/>
          <w:sz w:val="24"/>
        </w:rPr>
      </w:pPr>
      <w:r>
        <w:rPr>
          <w:rFonts w:hint="eastAsia" w:ascii="仿宋" w:hAnsi="仿宋" w:eastAsia="仿宋"/>
          <w:b/>
          <w:bCs/>
          <w:sz w:val="24"/>
        </w:rPr>
        <w:t>二、禁止转包、违法分包及出借资质</w:t>
      </w:r>
    </w:p>
    <w:p w14:paraId="1127B14C">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我方严格信守关于禁止转包、违法分包及出借资质（允许第三方以我方名义承揽）的全部约定，绝不实施以下任一行为：</w:t>
      </w:r>
    </w:p>
    <w:p w14:paraId="00464CDC">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1、将合同项下全部或部分工作转包给第三方。</w:t>
      </w:r>
    </w:p>
    <w:p w14:paraId="5028F9A9">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2、将合同工作肢解后以分包、转委托等名义交由第三方履行。</w:t>
      </w:r>
    </w:p>
    <w:p w14:paraId="435A2FCD">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3、未经贵方事先书面同意，绝不将合同项下任何工作以任何形式分包给第三方，包括依法允许的专业分包、劳务分包，亦须事先报经贵方书面批准后方可实施。</w:t>
      </w:r>
    </w:p>
    <w:p w14:paraId="4F8B6EB1">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4、以任何形式允许其他单位或个人以我方名义承揽合同项下工作，包括但不限于：我方仅以名下资质参与本项目投标或其他采购活动，中标/成交后，将项目完全交由第三方实际实施，我方不履行实质性管理；允许第三方以我方名义签订合同、组织施工或提供服务，实际投入的人员、设备、资金均来自第三方，我方仅收取管理费或其他名义的费用；以“联营”“合作”“内部承包”等名义，将项目实际控制权、履约义务转移给第三方，使合同项下工作实质上由第三方承揽；其他任何利用我方中标/成交资格及资质，使合同项下工作由非我方单位或个人实际承担的情形。</w:t>
      </w:r>
    </w:p>
    <w:p w14:paraId="7255B89F">
      <w:pPr>
        <w:snapToGrid w:val="0"/>
        <w:spacing w:before="60" w:beforeLines="25" w:after="60" w:afterLines="25" w:line="400" w:lineRule="exact"/>
        <w:ind w:firstLine="482" w:firstLineChars="200"/>
        <w:rPr>
          <w:rFonts w:ascii="仿宋" w:hAnsi="仿宋" w:eastAsia="仿宋"/>
          <w:b/>
          <w:bCs/>
          <w:sz w:val="24"/>
        </w:rPr>
      </w:pPr>
      <w:r>
        <w:rPr>
          <w:rFonts w:hint="eastAsia" w:ascii="仿宋" w:hAnsi="仿宋" w:eastAsia="仿宋"/>
          <w:b/>
          <w:bCs/>
          <w:sz w:val="24"/>
        </w:rPr>
        <w:t>三、人员到位</w:t>
      </w:r>
    </w:p>
    <w:p w14:paraId="2D9AAB68">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1、项目经理及关键岗位人员（技术负责人等）均为我方正式员工，我方已与上述人员签订书面劳动合同，并依法缴纳社会保险。</w:t>
      </w:r>
    </w:p>
    <w:p w14:paraId="284A8CA6">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2、上述人员为合同项下工作实际履约人员，在履约期间全程到位履职，不挂名、不虚设。</w:t>
      </w:r>
    </w:p>
    <w:p w14:paraId="330F814E">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3、未经贵方事先书面同意，不擅自更换项目经理及关键岗位人员。确需更换的，我方将提前书面申请并说明理由，经贵方书面批准后方可更换，且更换人员资质、经验不低于原人员。</w:t>
      </w:r>
    </w:p>
    <w:p w14:paraId="1D89A9D8">
      <w:pPr>
        <w:snapToGrid w:val="0"/>
        <w:spacing w:before="60" w:beforeLines="25" w:after="60" w:afterLines="25" w:line="400" w:lineRule="exact"/>
        <w:ind w:firstLine="482" w:firstLineChars="200"/>
        <w:rPr>
          <w:rFonts w:ascii="仿宋" w:hAnsi="仿宋" w:eastAsia="仿宋"/>
          <w:b/>
          <w:bCs/>
          <w:sz w:val="24"/>
        </w:rPr>
      </w:pPr>
      <w:r>
        <w:rPr>
          <w:rFonts w:hint="eastAsia" w:ascii="仿宋" w:hAnsi="仿宋" w:eastAsia="仿宋"/>
          <w:b/>
          <w:bCs/>
          <w:sz w:val="24"/>
        </w:rPr>
        <w:t>四、配合核查</w:t>
      </w:r>
    </w:p>
    <w:p w14:paraId="020B8659">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我方理解贵方有权对合同项下工作履约情况进行核查以确认是否存在转包、违法分包或出借资质（允许第三方以我方名义承揽）情形，并承诺予以配合，对所提供资料的真实性、完整性负责。</w:t>
      </w:r>
    </w:p>
    <w:p w14:paraId="2ABF0C1C">
      <w:pPr>
        <w:snapToGrid w:val="0"/>
        <w:spacing w:before="60" w:beforeLines="25" w:after="60" w:afterLines="25" w:line="400" w:lineRule="exact"/>
        <w:ind w:firstLine="482" w:firstLineChars="200"/>
        <w:rPr>
          <w:rFonts w:ascii="仿宋" w:hAnsi="仿宋" w:eastAsia="仿宋"/>
          <w:b/>
          <w:bCs/>
          <w:sz w:val="24"/>
        </w:rPr>
      </w:pPr>
      <w:r>
        <w:rPr>
          <w:rFonts w:hint="eastAsia" w:ascii="仿宋" w:hAnsi="仿宋" w:eastAsia="仿宋"/>
          <w:b/>
          <w:bCs/>
          <w:sz w:val="24"/>
        </w:rPr>
        <w:t>五、效力</w:t>
      </w:r>
    </w:p>
    <w:p w14:paraId="33E497F2">
      <w:pPr>
        <w:snapToGrid w:val="0"/>
        <w:spacing w:before="60" w:beforeLines="25" w:after="60" w:afterLines="25" w:line="400" w:lineRule="exact"/>
        <w:ind w:firstLine="480" w:firstLineChars="200"/>
        <w:rPr>
          <w:rFonts w:ascii="仿宋" w:hAnsi="仿宋" w:eastAsia="仿宋"/>
          <w:sz w:val="24"/>
        </w:rPr>
      </w:pPr>
      <w:r>
        <w:rPr>
          <w:rFonts w:hint="eastAsia" w:ascii="仿宋" w:hAnsi="仿宋" w:eastAsia="仿宋"/>
          <w:sz w:val="24"/>
        </w:rPr>
        <w:t>本承诺函自承诺人法定代表人或授权代表签字并加盖公章之日起生效，作为我方参与本项目及履行合同的真实意思表示。</w:t>
      </w:r>
    </w:p>
    <w:p w14:paraId="311A60B9">
      <w:pPr>
        <w:snapToGrid w:val="0"/>
        <w:spacing w:before="120" w:beforeLines="50" w:after="120" w:afterLines="50" w:line="420" w:lineRule="exact"/>
        <w:ind w:firstLine="2160" w:firstLineChars="900"/>
        <w:rPr>
          <w:rFonts w:ascii="仿宋" w:hAnsi="仿宋" w:eastAsia="仿宋"/>
          <w:sz w:val="24"/>
        </w:rPr>
      </w:pPr>
      <w:r>
        <w:rPr>
          <w:rFonts w:hint="eastAsia" w:ascii="仿宋" w:hAnsi="仿宋" w:eastAsia="仿宋"/>
          <w:sz w:val="24"/>
        </w:rPr>
        <w:t>承诺人（供应商全称，加盖公章）</w:t>
      </w:r>
    </w:p>
    <w:p w14:paraId="325E8484">
      <w:pPr>
        <w:snapToGrid w:val="0"/>
        <w:spacing w:before="120" w:beforeLines="50" w:after="120" w:afterLines="50" w:line="420" w:lineRule="exact"/>
        <w:ind w:firstLine="2160" w:firstLineChars="900"/>
        <w:rPr>
          <w:rFonts w:ascii="仿宋" w:hAnsi="仿宋" w:eastAsia="仿宋"/>
          <w:sz w:val="24"/>
        </w:rPr>
      </w:pPr>
      <w:r>
        <w:rPr>
          <w:rFonts w:hint="eastAsia" w:ascii="仿宋" w:hAnsi="仿宋" w:eastAsia="仿宋"/>
          <w:sz w:val="24"/>
        </w:rPr>
        <w:t>法定代表人或授权代表（签字）：</w:t>
      </w:r>
      <w:r>
        <w:rPr>
          <w:rFonts w:hint="eastAsia" w:ascii="仿宋" w:hAnsi="仿宋" w:eastAsia="仿宋"/>
          <w:sz w:val="24"/>
          <w:u w:val="single"/>
        </w:rPr>
        <w:t xml:space="preserve">            </w:t>
      </w:r>
    </w:p>
    <w:p w14:paraId="535D0CAF">
      <w:pPr>
        <w:spacing w:line="560" w:lineRule="exact"/>
        <w:ind w:firstLine="3600" w:firstLineChars="1500"/>
        <w:rPr>
          <w:rFonts w:ascii="仿宋_GB2312" w:hAnsi="仿宋" w:eastAsia="仿宋_GB2312" w:cs="仿宋"/>
          <w:b/>
          <w:kern w:val="0"/>
          <w:sz w:val="24"/>
        </w:rPr>
      </w:pP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087601D8">
      <w:pPr>
        <w:widowControl/>
        <w:tabs>
          <w:tab w:val="left" w:pos="1800"/>
          <w:tab w:val="left" w:pos="5580"/>
        </w:tabs>
        <w:jc w:val="left"/>
        <w:rPr>
          <w:color w:val="000000"/>
          <w:sz w:val="24"/>
          <w:szCs w:val="20"/>
        </w:rPr>
      </w:pPr>
    </w:p>
    <w:p w14:paraId="02773AE3">
      <w:pPr>
        <w:pStyle w:val="3"/>
      </w:pPr>
    </w:p>
    <w:p w14:paraId="58DDDA80">
      <w:pPr>
        <w:tabs>
          <w:tab w:val="left" w:pos="1800"/>
          <w:tab w:val="left" w:pos="5580"/>
        </w:tabs>
        <w:jc w:val="left"/>
        <w:rPr>
          <w:color w:val="000000"/>
          <w:sz w:val="24"/>
          <w:szCs w:val="20"/>
        </w:rPr>
      </w:pPr>
    </w:p>
    <w:p w14:paraId="40F9A6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
    <w:nsid w:val="412CE481"/>
    <w:multiLevelType w:val="singleLevel"/>
    <w:tmpl w:val="412CE481"/>
    <w:lvl w:ilvl="0" w:tentative="0">
      <w:start w:val="1"/>
      <w:numFmt w:val="decimal"/>
      <w:lvlText w:val="%1)"/>
      <w:lvlJc w:val="left"/>
      <w:pPr>
        <w:ind w:left="425" w:hanging="425"/>
      </w:pPr>
      <w:rPr>
        <w:rFonts w:hint="default"/>
      </w:rPr>
    </w:lvl>
  </w:abstractNum>
  <w:abstractNum w:abstractNumId="2">
    <w:nsid w:val="66FEC663"/>
    <w:multiLevelType w:val="singleLevel"/>
    <w:tmpl w:val="66FEC663"/>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F566A"/>
    <w:rsid w:val="7CCE7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tabs>
        <w:tab w:val="left" w:pos="567"/>
      </w:tabs>
      <w:spacing w:before="120" w:line="22" w:lineRule="atLeast"/>
    </w:pPr>
    <w:rPr>
      <w:rFonts w:ascii="宋体" w:hAns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6728</Words>
  <Characters>6993</Characters>
  <Lines>0</Lines>
  <Paragraphs>0</Paragraphs>
  <TotalTime>0</TotalTime>
  <ScaleCrop>false</ScaleCrop>
  <LinksUpToDate>false</LinksUpToDate>
  <CharactersWithSpaces>7139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2026-09-11T07:54:00Z</dcterms:created>
  <dc:creator>luozhao</dc:creator>
  <cp:lastModifiedBy>LZ</cp:lastModifiedBy>
  <dcterms:modified xsi:type="dcterms:W3CDTF">2026-09-15T08:06:11Z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eyJoZGlkIjoiYWYwMGRlZTcyOWNjODRjYzgxOTBkZGNlN2RkNzY1MGEiLCJ1c2VySWQiOiIxNTUxNTE4MDk2In0=</vt:lpwstr>
  </property>
  <property fmtid="{D5CDD505-2E9C-101B-9397-08002B2CF9AE}" pid="4" name="ICV">
    <vt:lpwstr>B204380725624477B67988A17C93599A_12</vt:lpwstr>
  </property>
</Properties>
</file>